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6D4C5" w14:textId="498EBFC3" w:rsidR="003B42FB" w:rsidRPr="007C6E88" w:rsidRDefault="003B42FB" w:rsidP="003B42FB">
      <w:pPr>
        <w:bidi/>
        <w:spacing w:line="240" w:lineRule="auto"/>
        <w:jc w:val="center"/>
        <w:rPr>
          <w:rFonts w:ascii="Arial" w:hAnsi="Arial" w:cs="Arial"/>
          <w:b/>
          <w:bCs/>
          <w:sz w:val="26"/>
          <w:szCs w:val="26"/>
          <w:rtl/>
        </w:rPr>
      </w:pPr>
      <w:r>
        <w:rPr>
          <w:rFonts w:ascii="Arial" w:hAnsi="Arial" w:cs="Arial" w:hint="cs"/>
          <w:b/>
          <w:bCs/>
          <w:sz w:val="26"/>
          <w:szCs w:val="26"/>
          <w:rtl/>
        </w:rPr>
        <w:t>ملحق رقم</w:t>
      </w:r>
      <w:r w:rsidRPr="007C6E88">
        <w:rPr>
          <w:rFonts w:ascii="Arial" w:hAnsi="Arial" w:cs="Arial" w:hint="cs"/>
          <w:b/>
          <w:bCs/>
          <w:sz w:val="26"/>
          <w:szCs w:val="26"/>
          <w:rtl/>
        </w:rPr>
        <w:t xml:space="preserve"> (</w:t>
      </w:r>
      <w:bookmarkStart w:id="0" w:name="_GoBack"/>
      <w:r>
        <w:rPr>
          <w:rFonts w:ascii="Arial" w:hAnsi="Arial" w:cs="Arial" w:hint="cs"/>
          <w:b/>
          <w:bCs/>
          <w:sz w:val="26"/>
          <w:szCs w:val="26"/>
          <w:rtl/>
        </w:rPr>
        <w:t>1</w:t>
      </w:r>
      <w:bookmarkEnd w:id="0"/>
      <w:r w:rsidRPr="007C6E88">
        <w:rPr>
          <w:rFonts w:ascii="Arial" w:hAnsi="Arial" w:cs="Arial" w:hint="cs"/>
          <w:b/>
          <w:bCs/>
          <w:sz w:val="26"/>
          <w:szCs w:val="26"/>
          <w:rtl/>
        </w:rPr>
        <w:t>)</w:t>
      </w:r>
    </w:p>
    <w:p w14:paraId="35ED7550" w14:textId="77777777" w:rsidR="003B42FB" w:rsidRPr="00461218" w:rsidRDefault="003B42FB" w:rsidP="003B42FB">
      <w:pPr>
        <w:bidi/>
        <w:spacing w:line="240" w:lineRule="auto"/>
        <w:jc w:val="center"/>
        <w:rPr>
          <w:rFonts w:ascii="Arial" w:hAnsi="Arial" w:cs="Arial"/>
          <w:b/>
          <w:bCs/>
          <w:sz w:val="28"/>
          <w:szCs w:val="28"/>
        </w:rPr>
      </w:pPr>
      <w:r w:rsidRPr="00461218">
        <w:rPr>
          <w:rFonts w:ascii="Arial" w:hAnsi="Arial" w:cs="Arial"/>
          <w:b/>
          <w:bCs/>
          <w:sz w:val="28"/>
          <w:szCs w:val="28"/>
          <w:rtl/>
        </w:rPr>
        <w:t>الاحتيال والفساد</w:t>
      </w:r>
    </w:p>
    <w:p w14:paraId="71BA5FB1" w14:textId="77777777" w:rsidR="003B42FB" w:rsidRPr="00F64249" w:rsidRDefault="003B42FB" w:rsidP="003B42FB">
      <w:pPr>
        <w:bidi/>
        <w:spacing w:after="0" w:line="240" w:lineRule="auto"/>
        <w:jc w:val="center"/>
        <w:rPr>
          <w:rFonts w:ascii="Arial" w:hAnsi="Arial" w:cs="Arial"/>
          <w:sz w:val="26"/>
          <w:szCs w:val="26"/>
        </w:rPr>
      </w:pPr>
      <w:r w:rsidRPr="00F64249">
        <w:rPr>
          <w:rFonts w:ascii="Arial" w:hAnsi="Arial" w:cs="Arial"/>
          <w:sz w:val="26"/>
          <w:szCs w:val="26"/>
          <w:rtl/>
          <w:lang w:bidi="ar-JO"/>
        </w:rPr>
        <w:t xml:space="preserve"> (ل</w:t>
      </w:r>
      <w:r w:rsidRPr="00F64249">
        <w:rPr>
          <w:rFonts w:ascii="Arial" w:hAnsi="Arial" w:cs="Arial"/>
          <w:sz w:val="26"/>
          <w:szCs w:val="26"/>
          <w:rtl/>
        </w:rPr>
        <w:t>ا يجوز تعديل هذا القسم)</w:t>
      </w:r>
    </w:p>
    <w:p w14:paraId="15F5FD25" w14:textId="77777777" w:rsidR="003B42FB" w:rsidRPr="00F64249" w:rsidRDefault="003B42FB" w:rsidP="003B42FB">
      <w:pPr>
        <w:bidi/>
        <w:spacing w:after="0" w:line="240" w:lineRule="auto"/>
        <w:jc w:val="both"/>
        <w:rPr>
          <w:rFonts w:ascii="Arial" w:hAnsi="Arial" w:cs="Arial"/>
          <w:sz w:val="26"/>
          <w:szCs w:val="26"/>
        </w:rPr>
      </w:pPr>
    </w:p>
    <w:p w14:paraId="18FD2107" w14:textId="77777777" w:rsidR="003B42FB" w:rsidRPr="00F64249" w:rsidRDefault="003B42FB" w:rsidP="003B42FB">
      <w:pPr>
        <w:pStyle w:val="ListParagraph"/>
        <w:numPr>
          <w:ilvl w:val="0"/>
          <w:numId w:val="25"/>
        </w:numPr>
        <w:bidi/>
        <w:spacing w:after="120"/>
        <w:ind w:left="360"/>
        <w:rPr>
          <w:b/>
          <w:bCs/>
          <w:sz w:val="26"/>
          <w:szCs w:val="26"/>
          <w:rtl/>
        </w:rPr>
      </w:pPr>
      <w:r w:rsidRPr="00F64249">
        <w:rPr>
          <w:b/>
          <w:bCs/>
          <w:sz w:val="26"/>
          <w:szCs w:val="26"/>
          <w:rtl/>
        </w:rPr>
        <w:t>الغرض</w:t>
      </w:r>
    </w:p>
    <w:p w14:paraId="41E8BFF1" w14:textId="77777777" w:rsidR="003B42FB" w:rsidRPr="00F64249" w:rsidRDefault="003B42FB" w:rsidP="003B42FB">
      <w:pPr>
        <w:bidi/>
        <w:spacing w:after="0" w:line="240" w:lineRule="auto"/>
        <w:ind w:left="360"/>
        <w:jc w:val="both"/>
        <w:rPr>
          <w:rFonts w:ascii="Arial" w:hAnsi="Arial" w:cs="Arial"/>
          <w:sz w:val="26"/>
          <w:szCs w:val="26"/>
          <w:rtl/>
        </w:rPr>
      </w:pPr>
      <w:r w:rsidRPr="00F64249">
        <w:rPr>
          <w:rFonts w:ascii="Arial" w:hAnsi="Arial" w:cs="Arial"/>
          <w:sz w:val="26"/>
          <w:szCs w:val="26"/>
          <w:rtl/>
        </w:rPr>
        <w:t>تنطبق "</w:t>
      </w:r>
      <w:r w:rsidRPr="00F64249">
        <w:rPr>
          <w:rFonts w:ascii="Arial" w:hAnsi="Arial" w:cs="Arial"/>
          <w:b/>
          <w:bCs/>
          <w:sz w:val="26"/>
          <w:szCs w:val="26"/>
          <w:rtl/>
        </w:rPr>
        <w:t>إرشادات البنك لمكافحة الفساد</w:t>
      </w:r>
      <w:r w:rsidRPr="00F64249">
        <w:rPr>
          <w:rFonts w:ascii="Arial" w:hAnsi="Arial" w:cs="Arial"/>
          <w:sz w:val="26"/>
          <w:szCs w:val="26"/>
          <w:rtl/>
        </w:rPr>
        <w:t xml:space="preserve">" وهذا الملحق على </w:t>
      </w:r>
      <w:r w:rsidRPr="00F64249">
        <w:rPr>
          <w:rFonts w:ascii="Arial" w:hAnsi="Arial" w:cs="Arial"/>
          <w:sz w:val="26"/>
          <w:szCs w:val="26"/>
          <w:rtl/>
          <w:lang w:bidi="ar-JO"/>
        </w:rPr>
        <w:t>عمليات الشراء</w:t>
      </w:r>
      <w:r w:rsidRPr="00F64249">
        <w:rPr>
          <w:rFonts w:ascii="Arial" w:hAnsi="Arial" w:cs="Arial"/>
          <w:sz w:val="26"/>
          <w:szCs w:val="26"/>
          <w:rtl/>
        </w:rPr>
        <w:t xml:space="preserve"> التي تتم بموجب عمليات تمويل مشاريع الاستثمار الخاصة بالبنك</w:t>
      </w:r>
      <w:r w:rsidRPr="00F64249">
        <w:rPr>
          <w:rFonts w:ascii="Arial" w:hAnsi="Arial" w:cs="Arial"/>
          <w:sz w:val="26"/>
          <w:szCs w:val="26"/>
        </w:rPr>
        <w:t>.</w:t>
      </w:r>
    </w:p>
    <w:p w14:paraId="19185572" w14:textId="77777777" w:rsidR="003B42FB" w:rsidRPr="00F64249" w:rsidRDefault="003B42FB" w:rsidP="003B42FB">
      <w:pPr>
        <w:bidi/>
        <w:spacing w:after="0" w:line="240" w:lineRule="auto"/>
        <w:ind w:left="360"/>
        <w:jc w:val="both"/>
        <w:rPr>
          <w:rFonts w:ascii="Arial" w:hAnsi="Arial" w:cs="Arial"/>
          <w:sz w:val="26"/>
          <w:szCs w:val="26"/>
          <w:rtl/>
        </w:rPr>
      </w:pPr>
    </w:p>
    <w:p w14:paraId="5592C889" w14:textId="77777777" w:rsidR="003B42FB" w:rsidRPr="00F64249" w:rsidRDefault="003B42FB" w:rsidP="003B42FB">
      <w:pPr>
        <w:pStyle w:val="ListParagraph"/>
        <w:numPr>
          <w:ilvl w:val="0"/>
          <w:numId w:val="25"/>
        </w:numPr>
        <w:bidi/>
        <w:spacing w:after="120"/>
        <w:ind w:left="360"/>
        <w:rPr>
          <w:b/>
          <w:bCs/>
          <w:sz w:val="26"/>
          <w:szCs w:val="26"/>
        </w:rPr>
      </w:pPr>
      <w:r w:rsidRPr="00F64249">
        <w:rPr>
          <w:b/>
          <w:bCs/>
          <w:sz w:val="26"/>
          <w:szCs w:val="26"/>
          <w:rtl/>
        </w:rPr>
        <w:t>المتطلبات</w:t>
      </w:r>
    </w:p>
    <w:p w14:paraId="7B240C9A" w14:textId="77777777" w:rsidR="003B42FB" w:rsidRPr="0091473C" w:rsidRDefault="003B42FB" w:rsidP="003B42FB">
      <w:pPr>
        <w:pStyle w:val="ListParagraph"/>
        <w:numPr>
          <w:ilvl w:val="1"/>
          <w:numId w:val="26"/>
        </w:numPr>
        <w:bidi/>
        <w:spacing w:after="120"/>
        <w:ind w:left="720" w:hanging="533"/>
        <w:rPr>
          <w:sz w:val="26"/>
          <w:szCs w:val="26"/>
        </w:rPr>
      </w:pPr>
      <w:r w:rsidRPr="0091473C">
        <w:rPr>
          <w:sz w:val="26"/>
          <w:szCs w:val="26"/>
          <w:rtl/>
        </w:rPr>
        <w:t xml:space="preserve">يطلب البنك من المقترضين (بما في ذلك المستفيدين من تمويل البنك) ؛ والمناقصين </w:t>
      </w:r>
      <w:r w:rsidRPr="0091473C">
        <w:rPr>
          <w:rFonts w:hint="cs"/>
          <w:sz w:val="26"/>
          <w:szCs w:val="26"/>
          <w:rtl/>
        </w:rPr>
        <w:t>والمستشارين</w:t>
      </w:r>
      <w:r w:rsidRPr="0091473C">
        <w:rPr>
          <w:sz w:val="26"/>
          <w:szCs w:val="26"/>
          <w:rtl/>
        </w:rPr>
        <w:t xml:space="preserve"> والمقاولين والموردين، وأي مقاولين أو </w:t>
      </w:r>
      <w:r w:rsidRPr="0091473C">
        <w:rPr>
          <w:rFonts w:hint="cs"/>
          <w:sz w:val="26"/>
          <w:szCs w:val="26"/>
          <w:rtl/>
        </w:rPr>
        <w:t>مستشارين</w:t>
      </w:r>
      <w:r w:rsidRPr="0091473C">
        <w:rPr>
          <w:sz w:val="26"/>
          <w:szCs w:val="26"/>
          <w:rtl/>
        </w:rPr>
        <w:t xml:space="preserve"> أو مزودي خدمات أو موردين من الباطن؛ وأي وكلاء (سواء تم التصريح عنهم أم لا)، وأي من موظفيهم، أن يلتزموا بأعلى المعايير الأخلاقية أثناء اجراءات عملية الشراء وا</w:t>
      </w:r>
      <w:r w:rsidRPr="0091473C">
        <w:rPr>
          <w:sz w:val="26"/>
          <w:szCs w:val="26"/>
          <w:rtl/>
          <w:lang w:bidi="ar-JO"/>
        </w:rPr>
        <w:t>لا</w:t>
      </w:r>
      <w:r w:rsidRPr="0091473C">
        <w:rPr>
          <w:sz w:val="26"/>
          <w:szCs w:val="26"/>
          <w:rtl/>
        </w:rPr>
        <w:t>ختيار وتنفيذ العقد، للعقود الممولة من البنك، والامتناع عن ممارسات الاحتيال والفساد</w:t>
      </w:r>
      <w:r w:rsidRPr="0091473C">
        <w:rPr>
          <w:sz w:val="26"/>
          <w:szCs w:val="26"/>
        </w:rPr>
        <w:t>.</w:t>
      </w:r>
    </w:p>
    <w:p w14:paraId="3104722C" w14:textId="77777777" w:rsidR="003B42FB" w:rsidRPr="00F64249" w:rsidRDefault="003B42FB" w:rsidP="003B42FB">
      <w:pPr>
        <w:pStyle w:val="ListParagraph"/>
        <w:numPr>
          <w:ilvl w:val="1"/>
          <w:numId w:val="27"/>
        </w:numPr>
        <w:bidi/>
        <w:spacing w:after="60"/>
        <w:ind w:left="720" w:hanging="540"/>
        <w:rPr>
          <w:sz w:val="26"/>
          <w:szCs w:val="26"/>
        </w:rPr>
      </w:pPr>
      <w:r w:rsidRPr="00F64249">
        <w:rPr>
          <w:sz w:val="26"/>
          <w:szCs w:val="26"/>
          <w:rtl/>
        </w:rPr>
        <w:t>وتحقيقا لهذه الغاية، فإن البنك</w:t>
      </w:r>
      <w:r w:rsidRPr="00F64249">
        <w:rPr>
          <w:sz w:val="26"/>
          <w:szCs w:val="26"/>
        </w:rPr>
        <w:t>:</w:t>
      </w:r>
    </w:p>
    <w:p w14:paraId="129CD023" w14:textId="77777777" w:rsidR="003B42FB" w:rsidRPr="00F64249" w:rsidRDefault="003B42FB" w:rsidP="003B42FB">
      <w:pPr>
        <w:pStyle w:val="ListParagraph"/>
        <w:numPr>
          <w:ilvl w:val="0"/>
          <w:numId w:val="28"/>
        </w:numPr>
        <w:bidi/>
        <w:spacing w:after="60"/>
        <w:ind w:left="1080"/>
        <w:rPr>
          <w:sz w:val="26"/>
          <w:szCs w:val="26"/>
        </w:rPr>
      </w:pPr>
      <w:r w:rsidRPr="00F64249">
        <w:rPr>
          <w:sz w:val="26"/>
          <w:szCs w:val="26"/>
          <w:rtl/>
        </w:rPr>
        <w:t>يعرف ولأغراض هذه الأحكام  المصطلحات المنصوص عليها أدناه، على النحو التالي</w:t>
      </w:r>
      <w:r w:rsidRPr="00F64249">
        <w:rPr>
          <w:sz w:val="26"/>
          <w:szCs w:val="26"/>
        </w:rPr>
        <w:t>:</w:t>
      </w:r>
    </w:p>
    <w:p w14:paraId="24E99380" w14:textId="77777777" w:rsidR="003B42FB" w:rsidRPr="00F64249" w:rsidRDefault="003B42FB" w:rsidP="003B42FB">
      <w:pPr>
        <w:pStyle w:val="ListParagraph"/>
        <w:numPr>
          <w:ilvl w:val="0"/>
          <w:numId w:val="23"/>
        </w:numPr>
        <w:bidi/>
        <w:spacing w:after="60"/>
        <w:ind w:left="1354"/>
        <w:rPr>
          <w:sz w:val="26"/>
          <w:szCs w:val="26"/>
        </w:rPr>
      </w:pPr>
      <w:r w:rsidRPr="00F64249">
        <w:rPr>
          <w:sz w:val="26"/>
          <w:szCs w:val="26"/>
          <w:rtl/>
        </w:rPr>
        <w:t>"الممارسة الفاسدة": هي عرض أو إعطاء أو تلقي أو التماس أي شيء ذي قيمة بشكل مباشر أو غير مباشر للتأثير بشكل غير لائق على تصرفات طرف آخر.</w:t>
      </w:r>
    </w:p>
    <w:p w14:paraId="2FCC659A" w14:textId="77777777" w:rsidR="003B42FB" w:rsidRPr="00F64249" w:rsidRDefault="003B42FB" w:rsidP="003B42FB">
      <w:pPr>
        <w:pStyle w:val="ListParagraph"/>
        <w:numPr>
          <w:ilvl w:val="0"/>
          <w:numId w:val="23"/>
        </w:numPr>
        <w:bidi/>
        <w:spacing w:after="60"/>
        <w:ind w:left="1354"/>
        <w:rPr>
          <w:sz w:val="26"/>
          <w:szCs w:val="26"/>
        </w:rPr>
      </w:pPr>
      <w:r w:rsidRPr="00F64249">
        <w:rPr>
          <w:sz w:val="26"/>
          <w:szCs w:val="26"/>
          <w:rtl/>
        </w:rPr>
        <w:t>"الممارسة الاحتيالية": هي أي فعل أو إغفال -بما في ذلك التحريف- يضلل عن قصد أو عن إهمال، أو يحاول تضليل طرف ما للحصول على منفعة مالية أو منفعة أخرى أو لتجنب التزام</w:t>
      </w:r>
      <w:r w:rsidRPr="00F64249">
        <w:rPr>
          <w:sz w:val="26"/>
          <w:szCs w:val="26"/>
          <w:rtl/>
          <w:lang w:bidi="ar-JO"/>
        </w:rPr>
        <w:t>.</w:t>
      </w:r>
    </w:p>
    <w:p w14:paraId="4F627F17" w14:textId="77777777" w:rsidR="003B42FB" w:rsidRPr="00F64249" w:rsidRDefault="003B42FB" w:rsidP="003B42FB">
      <w:pPr>
        <w:pStyle w:val="ListParagraph"/>
        <w:numPr>
          <w:ilvl w:val="0"/>
          <w:numId w:val="23"/>
        </w:numPr>
        <w:bidi/>
        <w:spacing w:after="60"/>
        <w:ind w:left="1354"/>
        <w:rPr>
          <w:sz w:val="26"/>
          <w:szCs w:val="26"/>
        </w:rPr>
      </w:pPr>
      <w:r w:rsidRPr="00F64249">
        <w:rPr>
          <w:sz w:val="26"/>
          <w:szCs w:val="26"/>
          <w:rtl/>
        </w:rPr>
        <w:t>"الممارسة التواطؤية": هي ترتيب بين طرفين أو أكثر مصمم لتحقيق غرض غير لائق، بما في ذلك التأثير بشكل غير لائق على تصرفات طرف آخر.</w:t>
      </w:r>
    </w:p>
    <w:p w14:paraId="10B26D66" w14:textId="77777777" w:rsidR="003B42FB" w:rsidRPr="00F64249" w:rsidRDefault="003B42FB" w:rsidP="003B42FB">
      <w:pPr>
        <w:pStyle w:val="ListParagraph"/>
        <w:numPr>
          <w:ilvl w:val="0"/>
          <w:numId w:val="23"/>
        </w:numPr>
        <w:bidi/>
        <w:spacing w:after="60"/>
        <w:ind w:left="1354"/>
        <w:rPr>
          <w:sz w:val="26"/>
          <w:szCs w:val="26"/>
        </w:rPr>
      </w:pPr>
      <w:r w:rsidRPr="00F64249">
        <w:rPr>
          <w:sz w:val="26"/>
          <w:szCs w:val="26"/>
          <w:rtl/>
        </w:rPr>
        <w:t xml:space="preserve">"الممارسة القسرية": هي </w:t>
      </w:r>
      <w:r w:rsidRPr="00F64249">
        <w:rPr>
          <w:sz w:val="26"/>
          <w:szCs w:val="26"/>
          <w:rtl/>
          <w:lang w:bidi="ar-JO"/>
        </w:rPr>
        <w:t>إضرار</w:t>
      </w:r>
      <w:r w:rsidRPr="00F64249">
        <w:rPr>
          <w:sz w:val="26"/>
          <w:szCs w:val="26"/>
          <w:rtl/>
        </w:rPr>
        <w:t xml:space="preserve"> أو إيذاء أو التهديد بالإضرار أو الإيذاء، بشكل مباشر أو غير مباشر، بأي طرف أو ممتلكاته للتأثير بشكل غير لائق على تصرفات أحد الأطراف؛</w:t>
      </w:r>
    </w:p>
    <w:p w14:paraId="281BA5F1" w14:textId="77777777" w:rsidR="003B42FB" w:rsidRPr="00F64249" w:rsidRDefault="003B42FB" w:rsidP="003B42FB">
      <w:pPr>
        <w:pStyle w:val="ListParagraph"/>
        <w:numPr>
          <w:ilvl w:val="0"/>
          <w:numId w:val="23"/>
        </w:numPr>
        <w:bidi/>
        <w:spacing w:after="60"/>
        <w:ind w:left="1350"/>
        <w:rPr>
          <w:sz w:val="26"/>
          <w:szCs w:val="26"/>
        </w:rPr>
      </w:pPr>
      <w:r w:rsidRPr="00F64249">
        <w:rPr>
          <w:sz w:val="26"/>
          <w:szCs w:val="26"/>
        </w:rPr>
        <w:t>"</w:t>
      </w:r>
      <w:r w:rsidRPr="00F64249">
        <w:rPr>
          <w:sz w:val="26"/>
          <w:szCs w:val="26"/>
          <w:rtl/>
        </w:rPr>
        <w:t>الممارسة المعرقلة" هي</w:t>
      </w:r>
      <w:r w:rsidRPr="00F64249">
        <w:rPr>
          <w:sz w:val="26"/>
          <w:szCs w:val="26"/>
        </w:rPr>
        <w:t>:</w:t>
      </w:r>
    </w:p>
    <w:p w14:paraId="47B9D7C1" w14:textId="77777777" w:rsidR="003B42FB" w:rsidRPr="00F64249" w:rsidRDefault="003B42FB" w:rsidP="003B42FB">
      <w:pPr>
        <w:pStyle w:val="ListParagraph"/>
        <w:numPr>
          <w:ilvl w:val="0"/>
          <w:numId w:val="24"/>
        </w:numPr>
        <w:bidi/>
        <w:spacing w:after="60"/>
        <w:ind w:left="1710"/>
        <w:rPr>
          <w:sz w:val="26"/>
          <w:szCs w:val="26"/>
        </w:rPr>
      </w:pPr>
      <w:r w:rsidRPr="00F64249">
        <w:rPr>
          <w:sz w:val="26"/>
          <w:szCs w:val="26"/>
          <w:rtl/>
        </w:rPr>
        <w:t>الإتلاف أو التزوير أو التغيير أو الإخفاء لأدلة مادية للتحقيق أو الإدلاء ببيانات كاذبة للمحققين بشكل متعمد، من أجل عرقلة تحقيق البنك في مزاعم الفساد أو الاحتيال أو الإكراه أو التواطؤ، و/ أو التهديد أو المضايقة أو التخويف لأي طرف لمنعه من الكشف عن معرفته بالأمور ذات الصلة بالتحقيق أو لمنعه من متابعة التحقيق، أو</w:t>
      </w:r>
    </w:p>
    <w:p w14:paraId="3F96F2B6" w14:textId="77777777" w:rsidR="003B42FB" w:rsidRPr="00F64249" w:rsidRDefault="003B42FB" w:rsidP="003B42FB">
      <w:pPr>
        <w:pStyle w:val="ListParagraph"/>
        <w:numPr>
          <w:ilvl w:val="0"/>
          <w:numId w:val="24"/>
        </w:numPr>
        <w:bidi/>
        <w:spacing w:after="120"/>
        <w:ind w:left="1714"/>
        <w:rPr>
          <w:sz w:val="26"/>
          <w:szCs w:val="26"/>
        </w:rPr>
      </w:pPr>
      <w:r w:rsidRPr="00F64249">
        <w:rPr>
          <w:sz w:val="26"/>
          <w:szCs w:val="26"/>
          <w:rtl/>
        </w:rPr>
        <w:t>الأعمال التي تهدف إلى إعاقة ممارسة حقوق البنك في التفتيش والتدقيق والمنصوص عليها في الفقرة (2.2/ج) أدناه.</w:t>
      </w:r>
    </w:p>
    <w:p w14:paraId="1CEA03AA" w14:textId="77777777" w:rsidR="003B42FB" w:rsidRPr="00F64249" w:rsidRDefault="003B42FB" w:rsidP="003B42FB">
      <w:pPr>
        <w:pStyle w:val="ListParagraph"/>
        <w:numPr>
          <w:ilvl w:val="0"/>
          <w:numId w:val="28"/>
        </w:numPr>
        <w:bidi/>
        <w:spacing w:after="120"/>
        <w:ind w:left="1080"/>
        <w:rPr>
          <w:sz w:val="26"/>
          <w:szCs w:val="26"/>
        </w:rPr>
      </w:pPr>
      <w:r w:rsidRPr="00F64249">
        <w:rPr>
          <w:sz w:val="26"/>
          <w:szCs w:val="26"/>
          <w:rtl/>
        </w:rPr>
        <w:t xml:space="preserve">يرفض أي اقتراح بالإحالة إذا قرر البنك أن الفرد أو الشركة الموصى بالإحالة عليها،  أو أي من موظفيها، أو وكلائها، أو مستشاريها أو مقاوليها من الباطن، او أي من </w:t>
      </w:r>
      <w:r>
        <w:rPr>
          <w:rFonts w:hint="cs"/>
          <w:sz w:val="26"/>
          <w:szCs w:val="26"/>
          <w:rtl/>
        </w:rPr>
        <w:t>مزودي</w:t>
      </w:r>
      <w:r w:rsidRPr="00F64249">
        <w:rPr>
          <w:sz w:val="26"/>
          <w:szCs w:val="26"/>
          <w:rtl/>
        </w:rPr>
        <w:t xml:space="preserve"> الخدمات ، والموردين و/ أو موظفيهم، قد انخرطوا بشكل مباشر أو غير مباشر في ممارسات فاسدة أو احتيالية أو تواطئية أو قسرية أو معرقلة خلال التنافس على العقد موضوع المناقصة؛</w:t>
      </w:r>
    </w:p>
    <w:p w14:paraId="589B588A" w14:textId="77777777" w:rsidR="003B42FB" w:rsidRPr="00F64249" w:rsidRDefault="003B42FB" w:rsidP="003B42FB">
      <w:pPr>
        <w:pStyle w:val="ListParagraph"/>
        <w:numPr>
          <w:ilvl w:val="0"/>
          <w:numId w:val="28"/>
        </w:numPr>
        <w:bidi/>
        <w:spacing w:after="120"/>
        <w:ind w:left="1080"/>
        <w:rPr>
          <w:sz w:val="26"/>
          <w:szCs w:val="26"/>
        </w:rPr>
      </w:pPr>
      <w:r w:rsidRPr="00F64249">
        <w:rPr>
          <w:sz w:val="26"/>
          <w:szCs w:val="26"/>
          <w:rtl/>
        </w:rPr>
        <w:t xml:space="preserve"> يجوز له، بالإضافة إلى التدابير العلاجية القانونية المنصوص عليها في الاتفاقية القانونية ذات الصلة، اتخاذ الإجراءات المناسبة الأخرى، بما في ذلك الإعلان عن الشراء الخاطئ </w:t>
      </w:r>
      <w:r w:rsidRPr="004A35BD">
        <w:rPr>
          <w:sz w:val="26"/>
          <w:szCs w:val="26"/>
          <w:rtl/>
        </w:rPr>
        <w:t>(</w:t>
      </w:r>
      <w:proofErr w:type="spellStart"/>
      <w:r w:rsidRPr="004A35BD">
        <w:rPr>
          <w:sz w:val="26"/>
          <w:szCs w:val="26"/>
        </w:rPr>
        <w:t>misprocurement</w:t>
      </w:r>
      <w:proofErr w:type="spellEnd"/>
      <w:r w:rsidRPr="004A35BD">
        <w:rPr>
          <w:sz w:val="26"/>
          <w:szCs w:val="26"/>
          <w:rtl/>
        </w:rPr>
        <w:t>)،</w:t>
      </w:r>
      <w:r w:rsidRPr="00F64249">
        <w:rPr>
          <w:sz w:val="26"/>
          <w:szCs w:val="26"/>
          <w:rtl/>
        </w:rPr>
        <w:t xml:space="preserve"> إذا قرر البنك في أي وقت أن ممثلي المقترض، أو المستفيد من أي جزء من عائدات القرض قد انخرطوا في ممارسات فاسدة أو احتيالية أو تواطئية أو قسرية أو معرقلة أثناء اجراءات عملية الشراء والاختيار </w:t>
      </w:r>
      <w:r w:rsidRPr="00F64249">
        <w:rPr>
          <w:sz w:val="26"/>
          <w:szCs w:val="26"/>
          <w:rtl/>
        </w:rPr>
        <w:lastRenderedPageBreak/>
        <w:t>و/ أو تنفيذ العقد موضوع المناقصة، دون أن يتخذ المقترض الإجراء المناسب في الوقت المناسب والمرضي للبنك لمعالجة هذه الممارسات عند حدوثها، بما في ذلك الفشل في إبلاغ البنك في الوقت المناسب الذي علم فيه بهذه الممارسات.</w:t>
      </w:r>
    </w:p>
    <w:p w14:paraId="5AA0806C" w14:textId="77777777" w:rsidR="003B42FB" w:rsidRPr="00F64249" w:rsidRDefault="003B42FB" w:rsidP="003B42FB">
      <w:pPr>
        <w:pStyle w:val="ListParagraph"/>
        <w:numPr>
          <w:ilvl w:val="0"/>
          <w:numId w:val="28"/>
        </w:numPr>
        <w:bidi/>
        <w:spacing w:after="120"/>
        <w:ind w:left="1080"/>
        <w:rPr>
          <w:sz w:val="26"/>
          <w:szCs w:val="26"/>
        </w:rPr>
      </w:pPr>
      <w:r w:rsidRPr="00F64249">
        <w:rPr>
          <w:sz w:val="26"/>
          <w:szCs w:val="26"/>
          <w:rtl/>
        </w:rPr>
        <w:t xml:space="preserve">يجوز له، وطبقا ل </w:t>
      </w:r>
      <w:r w:rsidRPr="004A35BD">
        <w:rPr>
          <w:sz w:val="26"/>
          <w:szCs w:val="26"/>
          <w:rtl/>
        </w:rPr>
        <w:t>(</w:t>
      </w:r>
      <w:r w:rsidRPr="004A35BD">
        <w:rPr>
          <w:b/>
          <w:bCs/>
          <w:sz w:val="26"/>
          <w:szCs w:val="26"/>
          <w:rtl/>
        </w:rPr>
        <w:t>إرشادات البنك لمكافحة الفساد)</w:t>
      </w:r>
      <w:r w:rsidRPr="00F64249">
        <w:rPr>
          <w:sz w:val="26"/>
          <w:szCs w:val="26"/>
          <w:rtl/>
        </w:rPr>
        <w:t xml:space="preserve"> ووفقًا لسياسات وإجراءات العقوبات السائدة لديه، أن يعاقب شركة أو فردًا -لأجل غير مسمى أو لفترة زمنية محددة- بما في ذلك التصريح علنًا عن أن هذه الشركة أو الفرد غير مؤهل (1) أن يتم احالة عقد ممول من البنك عليها/ عليه أو الاستفادة منه ماليا أو بأي طريقة أخرى</w:t>
      </w:r>
      <w:r w:rsidRPr="004A35BD">
        <w:rPr>
          <w:rtl/>
        </w:rPr>
        <w:footnoteReference w:id="1"/>
      </w:r>
      <w:r w:rsidRPr="00F64249">
        <w:rPr>
          <w:sz w:val="26"/>
          <w:szCs w:val="26"/>
          <w:rtl/>
        </w:rPr>
        <w:t xml:space="preserve">، (2) أن يكون مقاولًا أو </w:t>
      </w:r>
      <w:r>
        <w:rPr>
          <w:rFonts w:hint="cs"/>
          <w:sz w:val="26"/>
          <w:szCs w:val="26"/>
          <w:rtl/>
        </w:rPr>
        <w:t>مستشار</w:t>
      </w:r>
      <w:r w:rsidRPr="00F64249">
        <w:rPr>
          <w:sz w:val="26"/>
          <w:szCs w:val="26"/>
          <w:rtl/>
        </w:rPr>
        <w:t xml:space="preserve"> أو مصنعًا أو موردًا أو مقدم خدمة مسمى</w:t>
      </w:r>
      <w:r w:rsidRPr="004A35BD">
        <w:rPr>
          <w:rtl/>
        </w:rPr>
        <w:footnoteReference w:id="2"/>
      </w:r>
      <w:r w:rsidRPr="00F64249">
        <w:rPr>
          <w:sz w:val="26"/>
          <w:szCs w:val="26"/>
          <w:rtl/>
        </w:rPr>
        <w:t xml:space="preserve"> من الباطن لشركة اخرى ذات اهلية يتم إحالة عقد ممول من البنك عليها، و(3) لتلقي عائدات أي قرض يقدمه البنك أو للمشاركة في إعداد أو تنفيذ أي مشروع يموله البنك.</w:t>
      </w:r>
    </w:p>
    <w:p w14:paraId="5A6B845A" w14:textId="77777777" w:rsidR="003B42FB" w:rsidRPr="00F64249" w:rsidRDefault="003B42FB" w:rsidP="003B42FB">
      <w:pPr>
        <w:pStyle w:val="ListParagraph"/>
        <w:numPr>
          <w:ilvl w:val="0"/>
          <w:numId w:val="28"/>
        </w:numPr>
        <w:bidi/>
        <w:spacing w:after="60"/>
        <w:ind w:left="1080"/>
        <w:rPr>
          <w:sz w:val="26"/>
          <w:szCs w:val="26"/>
        </w:rPr>
      </w:pPr>
      <w:r w:rsidRPr="00F64249">
        <w:rPr>
          <w:sz w:val="26"/>
          <w:szCs w:val="26"/>
          <w:rtl/>
        </w:rPr>
        <w:t xml:space="preserve"> يطلب إدراج فقرة في وثائق المناقصة/ طلب العروض وفي العقود الممولة بقرض البنك، تلزم المناقصين </w:t>
      </w:r>
      <w:r>
        <w:rPr>
          <w:rFonts w:hint="cs"/>
          <w:sz w:val="26"/>
          <w:szCs w:val="26"/>
          <w:rtl/>
        </w:rPr>
        <w:t>والمستشار</w:t>
      </w:r>
      <w:r w:rsidRPr="00F64249">
        <w:rPr>
          <w:sz w:val="26"/>
          <w:szCs w:val="26"/>
          <w:rtl/>
        </w:rPr>
        <w:t xml:space="preserve"> والمقاولين والموردين، والمقاولين </w:t>
      </w:r>
      <w:r>
        <w:rPr>
          <w:rFonts w:hint="cs"/>
          <w:sz w:val="26"/>
          <w:szCs w:val="26"/>
          <w:rtl/>
        </w:rPr>
        <w:t>والمستشارين</w:t>
      </w:r>
      <w:r w:rsidRPr="00F64249">
        <w:rPr>
          <w:sz w:val="26"/>
          <w:szCs w:val="26"/>
          <w:rtl/>
        </w:rPr>
        <w:t xml:space="preserve"> </w:t>
      </w:r>
      <w:r>
        <w:rPr>
          <w:rFonts w:hint="cs"/>
          <w:sz w:val="26"/>
          <w:szCs w:val="26"/>
          <w:rtl/>
        </w:rPr>
        <w:t>ومزودي</w:t>
      </w:r>
      <w:r w:rsidRPr="00F64249">
        <w:rPr>
          <w:sz w:val="26"/>
          <w:szCs w:val="26"/>
          <w:rtl/>
        </w:rPr>
        <w:t xml:space="preserve"> الخدمات والموردين من الباطن وموظفي الوكلاء، بأن يسمحوا للبنك بفحص</w:t>
      </w:r>
      <w:r w:rsidRPr="004A35BD">
        <w:rPr>
          <w:rtl/>
        </w:rPr>
        <w:footnoteReference w:id="3"/>
      </w:r>
      <w:r w:rsidRPr="00F64249">
        <w:rPr>
          <w:sz w:val="26"/>
          <w:szCs w:val="26"/>
          <w:rtl/>
        </w:rPr>
        <w:t xml:space="preserve"> جميع الحسابات والسجلات </w:t>
      </w:r>
      <w:r>
        <w:rPr>
          <w:rFonts w:hint="cs"/>
          <w:sz w:val="26"/>
          <w:szCs w:val="26"/>
          <w:rtl/>
        </w:rPr>
        <w:t>والوثائق</w:t>
      </w:r>
      <w:r w:rsidRPr="00F64249">
        <w:rPr>
          <w:sz w:val="26"/>
          <w:szCs w:val="26"/>
          <w:rtl/>
        </w:rPr>
        <w:t xml:space="preserve"> الأخرى المتعلقة بعملية الشراء و/ أو الاختيار و/ أو تنفيذ العقد، وإجراء تدقيق عليها من قبل المدققين المعينين من قبل البنك</w:t>
      </w:r>
      <w:r w:rsidRPr="00F64249">
        <w:rPr>
          <w:sz w:val="26"/>
          <w:szCs w:val="26"/>
        </w:rPr>
        <w:t>.</w:t>
      </w:r>
    </w:p>
    <w:p w14:paraId="0665320E" w14:textId="07DE5E2E" w:rsidR="000C7328" w:rsidRPr="00F64249" w:rsidRDefault="000C7328" w:rsidP="00922FE7">
      <w:pPr>
        <w:bidi/>
        <w:jc w:val="both"/>
        <w:rPr>
          <w:sz w:val="26"/>
          <w:szCs w:val="26"/>
        </w:rPr>
      </w:pPr>
    </w:p>
    <w:sectPr w:rsidR="000C7328" w:rsidRPr="00F64249" w:rsidSect="00A51C9F">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F5E88" w14:textId="77777777" w:rsidR="0017129D" w:rsidRDefault="0017129D" w:rsidP="00A51C9F">
      <w:pPr>
        <w:spacing w:after="0" w:line="240" w:lineRule="auto"/>
      </w:pPr>
      <w:r>
        <w:separator/>
      </w:r>
    </w:p>
  </w:endnote>
  <w:endnote w:type="continuationSeparator" w:id="0">
    <w:p w14:paraId="5EE5DAB7" w14:textId="77777777" w:rsidR="0017129D" w:rsidRDefault="0017129D" w:rsidP="00A5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F35C" w14:textId="3C6E0426" w:rsidR="0021102C" w:rsidRDefault="0021102C">
    <w:pPr>
      <w:pStyle w:val="Footer"/>
    </w:pPr>
    <w:r>
      <w:rPr>
        <w:noProof/>
      </w:rPr>
      <mc:AlternateContent>
        <mc:Choice Requires="wps">
          <w:drawing>
            <wp:anchor distT="0" distB="0" distL="0" distR="0" simplePos="0" relativeHeight="251659264" behindDoc="0" locked="0" layoutInCell="1" allowOverlap="1" wp14:anchorId="63A1ED5C" wp14:editId="4B5A533F">
              <wp:simplePos x="635" y="635"/>
              <wp:positionH relativeFrom="page">
                <wp:align>right</wp:align>
              </wp:positionH>
              <wp:positionV relativeFrom="page">
                <wp:align>bottom</wp:align>
              </wp:positionV>
              <wp:extent cx="1172210" cy="368935"/>
              <wp:effectExtent l="0" t="0" r="0" b="0"/>
              <wp:wrapNone/>
              <wp:docPr id="561600560"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2452B05A" w14:textId="1344215F" w:rsidR="0021102C" w:rsidRPr="0021102C" w:rsidRDefault="0021102C" w:rsidP="0021102C">
                          <w:pPr>
                            <w:spacing w:after="0"/>
                            <w:rPr>
                              <w:rFonts w:ascii="Aptos" w:eastAsia="Aptos" w:hAnsi="Aptos" w:cs="Aptos"/>
                              <w:noProof/>
                              <w:color w:val="000000"/>
                              <w:sz w:val="20"/>
                              <w:szCs w:val="20"/>
                            </w:rPr>
                          </w:pPr>
                          <w:r w:rsidRPr="0021102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A1ED5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2452B05A" w14:textId="1344215F" w:rsidR="0021102C" w:rsidRPr="0021102C" w:rsidRDefault="0021102C" w:rsidP="0021102C">
                    <w:pPr>
                      <w:spacing w:after="0"/>
                      <w:rPr>
                        <w:rFonts w:ascii="Aptos" w:eastAsia="Aptos" w:hAnsi="Aptos" w:cs="Aptos"/>
                        <w:noProof/>
                        <w:color w:val="000000"/>
                        <w:sz w:val="20"/>
                        <w:szCs w:val="20"/>
                      </w:rPr>
                    </w:pPr>
                    <w:r w:rsidRPr="0021102C">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1079" w14:textId="05E03039" w:rsidR="00DD3EAA" w:rsidRDefault="0021102C">
    <w:pPr>
      <w:pStyle w:val="Footer"/>
      <w:jc w:val="right"/>
    </w:pPr>
    <w:r>
      <w:rPr>
        <w:noProof/>
      </w:rPr>
      <mc:AlternateContent>
        <mc:Choice Requires="wps">
          <w:drawing>
            <wp:anchor distT="0" distB="0" distL="0" distR="0" simplePos="0" relativeHeight="251660288" behindDoc="0" locked="0" layoutInCell="1" allowOverlap="1" wp14:anchorId="04A6AB1D" wp14:editId="42FE8A22">
              <wp:simplePos x="635" y="635"/>
              <wp:positionH relativeFrom="page">
                <wp:align>right</wp:align>
              </wp:positionH>
              <wp:positionV relativeFrom="page">
                <wp:align>bottom</wp:align>
              </wp:positionV>
              <wp:extent cx="1172210" cy="368935"/>
              <wp:effectExtent l="0" t="0" r="0" b="0"/>
              <wp:wrapNone/>
              <wp:docPr id="1443299870"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63078234" w14:textId="321AEDF1" w:rsidR="0021102C" w:rsidRPr="0021102C" w:rsidRDefault="0021102C" w:rsidP="0021102C">
                          <w:pPr>
                            <w:spacing w:after="0"/>
                            <w:rPr>
                              <w:rFonts w:ascii="Aptos" w:eastAsia="Aptos" w:hAnsi="Aptos" w:cs="Aptos"/>
                              <w:noProof/>
                              <w:color w:val="000000"/>
                              <w:sz w:val="20"/>
                              <w:szCs w:val="20"/>
                            </w:rPr>
                          </w:pPr>
                          <w:r w:rsidRPr="0021102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A6AB1D"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63078234" w14:textId="321AEDF1" w:rsidR="0021102C" w:rsidRPr="0021102C" w:rsidRDefault="0021102C" w:rsidP="0021102C">
                    <w:pPr>
                      <w:spacing w:after="0"/>
                      <w:rPr>
                        <w:rFonts w:ascii="Aptos" w:eastAsia="Aptos" w:hAnsi="Aptos" w:cs="Aptos"/>
                        <w:noProof/>
                        <w:color w:val="000000"/>
                        <w:sz w:val="20"/>
                        <w:szCs w:val="20"/>
                      </w:rPr>
                    </w:pPr>
                    <w:r w:rsidRPr="0021102C">
                      <w:rPr>
                        <w:rFonts w:ascii="Aptos" w:eastAsia="Aptos" w:hAnsi="Aptos" w:cs="Aptos"/>
                        <w:noProof/>
                        <w:color w:val="000000"/>
                        <w:sz w:val="20"/>
                        <w:szCs w:val="20"/>
                      </w:rPr>
                      <w:t>Official Use Only</w:t>
                    </w:r>
                  </w:p>
                </w:txbxContent>
              </v:textbox>
              <w10:wrap anchorx="page" anchory="page"/>
            </v:shape>
          </w:pict>
        </mc:Fallback>
      </mc:AlternateContent>
    </w:r>
  </w:p>
  <w:sdt>
    <w:sdtPr>
      <w:id w:val="989134012"/>
      <w:docPartObj>
        <w:docPartGallery w:val="Page Numbers (Bottom of Page)"/>
        <w:docPartUnique/>
      </w:docPartObj>
    </w:sdtPr>
    <w:sdtEndPr>
      <w:rPr>
        <w:noProof/>
      </w:rPr>
    </w:sdtEndPr>
    <w:sdtContent>
      <w:p w14:paraId="7F7471C8" w14:textId="77777777" w:rsidR="00DD3EAA" w:rsidRDefault="00385EC1">
        <w:pPr>
          <w:pStyle w:val="Footer"/>
          <w:jc w:val="right"/>
        </w:pPr>
        <w:r>
          <w:fldChar w:fldCharType="begin"/>
        </w:r>
        <w:r>
          <w:instrText xml:space="preserve"> PAGE   \* MERGEFORMAT </w:instrText>
        </w:r>
        <w:r>
          <w:fldChar w:fldCharType="separate"/>
        </w:r>
        <w:r w:rsidR="0014277A">
          <w:rPr>
            <w:noProof/>
          </w:rPr>
          <w:t>2</w:t>
        </w:r>
        <w:r>
          <w:rPr>
            <w:noProof/>
          </w:rPr>
          <w:fldChar w:fldCharType="end"/>
        </w:r>
      </w:p>
    </w:sdtContent>
  </w:sdt>
  <w:p w14:paraId="68A3BB16" w14:textId="77777777" w:rsidR="00DD3EAA" w:rsidRDefault="00DD3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DC76" w14:textId="3BD9D316" w:rsidR="0021102C" w:rsidRDefault="0021102C">
    <w:pPr>
      <w:pStyle w:val="Footer"/>
    </w:pPr>
    <w:r>
      <w:rPr>
        <w:noProof/>
      </w:rPr>
      <mc:AlternateContent>
        <mc:Choice Requires="wps">
          <w:drawing>
            <wp:anchor distT="0" distB="0" distL="0" distR="0" simplePos="0" relativeHeight="251658240" behindDoc="0" locked="0" layoutInCell="1" allowOverlap="1" wp14:anchorId="2E83C33E" wp14:editId="04FDB9FC">
              <wp:simplePos x="635" y="635"/>
              <wp:positionH relativeFrom="page">
                <wp:align>right</wp:align>
              </wp:positionH>
              <wp:positionV relativeFrom="page">
                <wp:align>bottom</wp:align>
              </wp:positionV>
              <wp:extent cx="1172210" cy="368935"/>
              <wp:effectExtent l="0" t="0" r="0" b="0"/>
              <wp:wrapNone/>
              <wp:docPr id="741468711"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602D89CE" w14:textId="4E0C8C5D" w:rsidR="0021102C" w:rsidRPr="0021102C" w:rsidRDefault="0021102C" w:rsidP="0021102C">
                          <w:pPr>
                            <w:spacing w:after="0"/>
                            <w:rPr>
                              <w:rFonts w:ascii="Aptos" w:eastAsia="Aptos" w:hAnsi="Aptos" w:cs="Aptos"/>
                              <w:noProof/>
                              <w:color w:val="000000"/>
                              <w:sz w:val="20"/>
                              <w:szCs w:val="20"/>
                            </w:rPr>
                          </w:pPr>
                          <w:r w:rsidRPr="0021102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83C33E"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602D89CE" w14:textId="4E0C8C5D" w:rsidR="0021102C" w:rsidRPr="0021102C" w:rsidRDefault="0021102C" w:rsidP="0021102C">
                    <w:pPr>
                      <w:spacing w:after="0"/>
                      <w:rPr>
                        <w:rFonts w:ascii="Aptos" w:eastAsia="Aptos" w:hAnsi="Aptos" w:cs="Aptos"/>
                        <w:noProof/>
                        <w:color w:val="000000"/>
                        <w:sz w:val="20"/>
                        <w:szCs w:val="20"/>
                      </w:rPr>
                    </w:pPr>
                    <w:r w:rsidRPr="0021102C">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2C34E" w14:textId="77777777" w:rsidR="0017129D" w:rsidRDefault="0017129D" w:rsidP="00A51C9F">
      <w:pPr>
        <w:spacing w:after="0" w:line="240" w:lineRule="auto"/>
      </w:pPr>
      <w:r>
        <w:separator/>
      </w:r>
    </w:p>
  </w:footnote>
  <w:footnote w:type="continuationSeparator" w:id="0">
    <w:p w14:paraId="44A09401" w14:textId="77777777" w:rsidR="0017129D" w:rsidRDefault="0017129D" w:rsidP="00A51C9F">
      <w:pPr>
        <w:spacing w:after="0" w:line="240" w:lineRule="auto"/>
      </w:pPr>
      <w:r>
        <w:continuationSeparator/>
      </w:r>
    </w:p>
  </w:footnote>
  <w:footnote w:id="1">
    <w:p w14:paraId="69C157B8" w14:textId="77777777" w:rsidR="003B42FB" w:rsidRDefault="003B42FB" w:rsidP="003B42FB">
      <w:pPr>
        <w:pStyle w:val="FootnoteText"/>
        <w:bidi/>
        <w:spacing w:after="120"/>
        <w:ind w:left="180" w:hanging="180"/>
        <w:rPr>
          <w:rtl/>
          <w:lang w:bidi="ar-JO"/>
        </w:rPr>
      </w:pPr>
      <w:r>
        <w:rPr>
          <w:rStyle w:val="FootnoteReference"/>
        </w:rPr>
        <w:footnoteRef/>
      </w:r>
      <w:r>
        <w:t xml:space="preserve"> </w:t>
      </w:r>
      <w:r>
        <w:rPr>
          <w:rFonts w:hint="cs"/>
          <w:rtl/>
        </w:rPr>
        <w:t xml:space="preserve"> تلافيا ل</w:t>
      </w:r>
      <w:r w:rsidRPr="00F220DF">
        <w:rPr>
          <w:rtl/>
        </w:rPr>
        <w:t xml:space="preserve">لشك، </w:t>
      </w:r>
      <w:r>
        <w:rPr>
          <w:rFonts w:hint="cs"/>
          <w:rtl/>
        </w:rPr>
        <w:t>فان</w:t>
      </w:r>
      <w:r w:rsidRPr="00F220DF">
        <w:rPr>
          <w:rtl/>
        </w:rPr>
        <w:t xml:space="preserve"> عدم أهلية الطرف الخاضع للعقوبات </w:t>
      </w:r>
      <w:r>
        <w:rPr>
          <w:rFonts w:hint="cs"/>
          <w:rtl/>
        </w:rPr>
        <w:t>لاحالة</w:t>
      </w:r>
      <w:r w:rsidRPr="00F220DF">
        <w:rPr>
          <w:rtl/>
        </w:rPr>
        <w:t xml:space="preserve"> العقد</w:t>
      </w:r>
      <w:r>
        <w:rPr>
          <w:rFonts w:hint="cs"/>
          <w:rtl/>
        </w:rPr>
        <w:t xml:space="preserve"> عليه يجب أن تشمل دون تقييد</w:t>
      </w:r>
      <w:r w:rsidRPr="00F220DF">
        <w:rPr>
          <w:rtl/>
        </w:rPr>
        <w:t xml:space="preserve"> (1) التقدم بطلب </w:t>
      </w:r>
      <w:r>
        <w:rPr>
          <w:rFonts w:hint="cs"/>
          <w:rtl/>
        </w:rPr>
        <w:t>ل</w:t>
      </w:r>
      <w:r w:rsidRPr="00F220DF">
        <w:rPr>
          <w:rtl/>
        </w:rPr>
        <w:t xml:space="preserve">لتأهيل المسبق، </w:t>
      </w:r>
      <w:r>
        <w:rPr>
          <w:rFonts w:hint="cs"/>
          <w:rtl/>
        </w:rPr>
        <w:t>والتعبير عن الاهتمام في الخدمات الاستشارية</w:t>
      </w:r>
      <w:r w:rsidRPr="00F220DF">
        <w:rPr>
          <w:rtl/>
        </w:rPr>
        <w:t xml:space="preserve">، وتقديم </w:t>
      </w:r>
      <w:r>
        <w:rPr>
          <w:rFonts w:hint="cs"/>
          <w:rtl/>
        </w:rPr>
        <w:t>العروض</w:t>
      </w:r>
      <w:r w:rsidRPr="00F220DF">
        <w:rPr>
          <w:rtl/>
        </w:rPr>
        <w:t xml:space="preserve"> إما بشكل مباشر أو كمقاول </w:t>
      </w:r>
      <w:r>
        <w:rPr>
          <w:rFonts w:hint="cs"/>
          <w:rtl/>
        </w:rPr>
        <w:t xml:space="preserve">مسمى </w:t>
      </w:r>
      <w:r w:rsidRPr="00F220DF">
        <w:rPr>
          <w:rtl/>
        </w:rPr>
        <w:t xml:space="preserve">من </w:t>
      </w:r>
      <w:r>
        <w:rPr>
          <w:rtl/>
        </w:rPr>
        <w:t>الباطن</w:t>
      </w:r>
      <w:r w:rsidRPr="00F220DF">
        <w:rPr>
          <w:rtl/>
        </w:rPr>
        <w:t xml:space="preserve">، </w:t>
      </w:r>
      <w:r>
        <w:rPr>
          <w:rFonts w:hint="cs"/>
          <w:rtl/>
        </w:rPr>
        <w:t>أو مستشار مسمى</w:t>
      </w:r>
      <w:r w:rsidRPr="00F220DF">
        <w:rPr>
          <w:rtl/>
        </w:rPr>
        <w:t xml:space="preserve"> أو مُصنِّع أو مورد </w:t>
      </w:r>
      <w:r>
        <w:rPr>
          <w:rFonts w:hint="cs"/>
          <w:rtl/>
        </w:rPr>
        <w:t>مسمى</w:t>
      </w:r>
      <w:r w:rsidRPr="00F220DF">
        <w:rPr>
          <w:rtl/>
        </w:rPr>
        <w:t xml:space="preserve"> أو </w:t>
      </w:r>
      <w:r>
        <w:rPr>
          <w:rFonts w:hint="cs"/>
          <w:rtl/>
        </w:rPr>
        <w:t>مزود</w:t>
      </w:r>
      <w:r w:rsidRPr="00F220DF">
        <w:rPr>
          <w:rtl/>
        </w:rPr>
        <w:t xml:space="preserve"> خدمة </w:t>
      </w:r>
      <w:r>
        <w:rPr>
          <w:rFonts w:hint="cs"/>
          <w:rtl/>
        </w:rPr>
        <w:t>مسمى</w:t>
      </w:r>
      <w:r w:rsidRPr="00F220DF">
        <w:rPr>
          <w:rtl/>
        </w:rPr>
        <w:t xml:space="preserve"> فيما يتعلق بهذا العقد، و (2) الدخول في </w:t>
      </w:r>
      <w:r w:rsidRPr="005070C2">
        <w:rPr>
          <w:color w:val="000000" w:themeColor="text1"/>
          <w:rtl/>
        </w:rPr>
        <w:t xml:space="preserve">ملحق أو تعديل يُدخل </w:t>
      </w:r>
      <w:r>
        <w:rPr>
          <w:rFonts w:hint="cs"/>
          <w:rtl/>
          <w:lang w:bidi="ar-JO"/>
        </w:rPr>
        <w:t>تغييرا</w:t>
      </w:r>
      <w:r w:rsidRPr="00F220DF">
        <w:rPr>
          <w:rtl/>
        </w:rPr>
        <w:t xml:space="preserve"> جوهريًا على أي عقد قائم.</w:t>
      </w:r>
    </w:p>
  </w:footnote>
  <w:footnote w:id="2">
    <w:p w14:paraId="394F24AE" w14:textId="77777777" w:rsidR="003B42FB" w:rsidRDefault="003B42FB" w:rsidP="003B42FB">
      <w:pPr>
        <w:pStyle w:val="FootnoteText"/>
        <w:bidi/>
        <w:spacing w:after="120"/>
        <w:ind w:left="180" w:hanging="180"/>
        <w:rPr>
          <w:rtl/>
          <w:lang w:bidi="ar-JO"/>
        </w:rPr>
      </w:pPr>
      <w:r>
        <w:rPr>
          <w:rStyle w:val="FootnoteReference"/>
        </w:rPr>
        <w:footnoteRef/>
      </w:r>
      <w:r>
        <w:t xml:space="preserve"> </w:t>
      </w:r>
      <w:r>
        <w:rPr>
          <w:rFonts w:hint="cs"/>
          <w:rtl/>
          <w:lang w:bidi="ar-JO"/>
        </w:rPr>
        <w:t xml:space="preserve"> </w:t>
      </w:r>
      <w:r w:rsidRPr="00083EE9">
        <w:rPr>
          <w:rtl/>
          <w:lang w:bidi="ar-JO"/>
        </w:rPr>
        <w:t xml:space="preserve">المقاول </w:t>
      </w:r>
      <w:r>
        <w:rPr>
          <w:rFonts w:hint="cs"/>
          <w:rtl/>
          <w:lang w:bidi="ar-JO"/>
        </w:rPr>
        <w:t>الفرعي (من الباطن) المسمى</w:t>
      </w:r>
      <w:r w:rsidRPr="00083EE9">
        <w:rPr>
          <w:rtl/>
          <w:lang w:bidi="ar-JO"/>
        </w:rPr>
        <w:t xml:space="preserve">، </w:t>
      </w:r>
      <w:r>
        <w:rPr>
          <w:rFonts w:hint="cs"/>
          <w:rtl/>
          <w:lang w:bidi="ar-JO"/>
        </w:rPr>
        <w:t>المستشار</w:t>
      </w:r>
      <w:r w:rsidRPr="00083EE9">
        <w:rPr>
          <w:rtl/>
          <w:lang w:bidi="ar-JO"/>
        </w:rPr>
        <w:t xml:space="preserve"> </w:t>
      </w:r>
      <w:r>
        <w:rPr>
          <w:rFonts w:hint="cs"/>
          <w:rtl/>
          <w:lang w:bidi="ar-JO"/>
        </w:rPr>
        <w:t>المسمى</w:t>
      </w:r>
      <w:r w:rsidRPr="00083EE9">
        <w:rPr>
          <w:rtl/>
          <w:lang w:bidi="ar-JO"/>
        </w:rPr>
        <w:t xml:space="preserve">، </w:t>
      </w:r>
      <w:r>
        <w:rPr>
          <w:rFonts w:hint="cs"/>
          <w:rtl/>
          <w:lang w:bidi="ar-JO"/>
        </w:rPr>
        <w:t>المصنع</w:t>
      </w:r>
      <w:r w:rsidRPr="00083EE9">
        <w:rPr>
          <w:rtl/>
          <w:lang w:bidi="ar-JO"/>
        </w:rPr>
        <w:t xml:space="preserve"> أو المورد </w:t>
      </w:r>
      <w:r>
        <w:rPr>
          <w:rFonts w:hint="cs"/>
          <w:rtl/>
          <w:lang w:bidi="ar-JO"/>
        </w:rPr>
        <w:t>المسمى</w:t>
      </w:r>
      <w:r w:rsidRPr="00083EE9">
        <w:rPr>
          <w:rtl/>
          <w:lang w:bidi="ar-JO"/>
        </w:rPr>
        <w:t xml:space="preserve">، أو </w:t>
      </w:r>
      <w:r>
        <w:rPr>
          <w:rFonts w:hint="cs"/>
          <w:rtl/>
          <w:lang w:bidi="ar-JO"/>
        </w:rPr>
        <w:t>مزود</w:t>
      </w:r>
      <w:r w:rsidRPr="00083EE9">
        <w:rPr>
          <w:rtl/>
          <w:lang w:bidi="ar-JO"/>
        </w:rPr>
        <w:t xml:space="preserve"> الخدمة </w:t>
      </w:r>
      <w:r>
        <w:rPr>
          <w:rFonts w:hint="cs"/>
          <w:rtl/>
          <w:lang w:bidi="ar-JO"/>
        </w:rPr>
        <w:t>المسمى</w:t>
      </w:r>
      <w:r w:rsidRPr="00083EE9">
        <w:rPr>
          <w:rtl/>
          <w:lang w:bidi="ar-JO"/>
        </w:rPr>
        <w:t xml:space="preserve"> (تستخدم أسماء مختلفة اعتمادًا على وثيقة </w:t>
      </w:r>
      <w:r>
        <w:rPr>
          <w:rFonts w:hint="cs"/>
          <w:rtl/>
          <w:lang w:bidi="ar-JO"/>
        </w:rPr>
        <w:t>مناقصة</w:t>
      </w:r>
      <w:r>
        <w:rPr>
          <w:rtl/>
          <w:lang w:bidi="ar-JO"/>
        </w:rPr>
        <w:t xml:space="preserve"> </w:t>
      </w:r>
      <w:r w:rsidRPr="00083EE9">
        <w:rPr>
          <w:rtl/>
          <w:lang w:bidi="ar-JO"/>
        </w:rPr>
        <w:t xml:space="preserve">معينة) هو الذي تم: (1) تضمينه من قبل </w:t>
      </w:r>
      <w:r>
        <w:rPr>
          <w:rFonts w:hint="cs"/>
          <w:rtl/>
          <w:lang w:bidi="ar-JO"/>
        </w:rPr>
        <w:t>المناقص</w:t>
      </w:r>
      <w:r w:rsidRPr="00083EE9">
        <w:rPr>
          <w:rtl/>
          <w:lang w:bidi="ar-JO"/>
        </w:rPr>
        <w:t xml:space="preserve"> في طلب</w:t>
      </w:r>
      <w:r>
        <w:rPr>
          <w:rFonts w:hint="cs"/>
          <w:rtl/>
          <w:lang w:bidi="ar-JO"/>
        </w:rPr>
        <w:t>ه ل</w:t>
      </w:r>
      <w:r w:rsidRPr="00083EE9">
        <w:rPr>
          <w:rtl/>
          <w:lang w:bidi="ar-JO"/>
        </w:rPr>
        <w:t xml:space="preserve">لتأهيل المسبق أو </w:t>
      </w:r>
      <w:r>
        <w:rPr>
          <w:rFonts w:hint="cs"/>
          <w:rtl/>
          <w:lang w:bidi="ar-JO"/>
        </w:rPr>
        <w:t>عطائه</w:t>
      </w:r>
      <w:r w:rsidRPr="00083EE9">
        <w:rPr>
          <w:rtl/>
          <w:lang w:bidi="ar-JO"/>
        </w:rPr>
        <w:t xml:space="preserve"> لأنه يجلب خبرة ودراية محددة وحاسمة تسمح </w:t>
      </w:r>
      <w:r>
        <w:rPr>
          <w:rFonts w:hint="cs"/>
          <w:rtl/>
          <w:lang w:bidi="ar-JO"/>
        </w:rPr>
        <w:t>للمناقص</w:t>
      </w:r>
      <w:r w:rsidRPr="00083EE9">
        <w:rPr>
          <w:rtl/>
          <w:lang w:bidi="ar-JO"/>
        </w:rPr>
        <w:t xml:space="preserve"> بالوفاء بمتطلبات التأهيل </w:t>
      </w:r>
      <w:r>
        <w:rPr>
          <w:rFonts w:hint="cs"/>
          <w:rtl/>
          <w:lang w:bidi="ar-JO"/>
        </w:rPr>
        <w:t>لمناقصة</w:t>
      </w:r>
      <w:r w:rsidRPr="00083EE9">
        <w:rPr>
          <w:rtl/>
          <w:lang w:bidi="ar-JO"/>
        </w:rPr>
        <w:t xml:space="preserve"> معين</w:t>
      </w:r>
      <w:r>
        <w:rPr>
          <w:rFonts w:hint="cs"/>
          <w:rtl/>
          <w:lang w:bidi="ar-JO"/>
        </w:rPr>
        <w:t>ة،</w:t>
      </w:r>
      <w:r w:rsidRPr="00083EE9">
        <w:rPr>
          <w:rtl/>
          <w:lang w:bidi="ar-JO"/>
        </w:rPr>
        <w:t xml:space="preserve"> أو (2) </w:t>
      </w:r>
      <w:r>
        <w:rPr>
          <w:rFonts w:hint="cs"/>
          <w:rtl/>
          <w:lang w:bidi="ar-JO"/>
        </w:rPr>
        <w:t>المسمى</w:t>
      </w:r>
      <w:r w:rsidRPr="00083EE9">
        <w:rPr>
          <w:rtl/>
          <w:lang w:bidi="ar-JO"/>
        </w:rPr>
        <w:t xml:space="preserve"> من قبل المقترض.</w:t>
      </w:r>
    </w:p>
  </w:footnote>
  <w:footnote w:id="3">
    <w:p w14:paraId="2C3F0433" w14:textId="77777777" w:rsidR="003B42FB" w:rsidRDefault="003B42FB" w:rsidP="003B42FB">
      <w:pPr>
        <w:pStyle w:val="FootnoteText"/>
        <w:bidi/>
        <w:spacing w:after="120"/>
        <w:ind w:left="180" w:hanging="180"/>
        <w:rPr>
          <w:rtl/>
          <w:lang w:bidi="ar-JO"/>
        </w:rPr>
      </w:pPr>
      <w:r>
        <w:rPr>
          <w:rStyle w:val="FootnoteReference"/>
        </w:rPr>
        <w:footnoteRef/>
      </w:r>
      <w:r>
        <w:t xml:space="preserve"> </w:t>
      </w:r>
      <w:r w:rsidRPr="00083EE9">
        <w:rPr>
          <w:rtl/>
        </w:rPr>
        <w:t xml:space="preserve">عادة ما تكون عمليات </w:t>
      </w:r>
      <w:r>
        <w:rPr>
          <w:rFonts w:hint="cs"/>
          <w:rtl/>
        </w:rPr>
        <w:t>الفحص</w:t>
      </w:r>
      <w:r w:rsidRPr="00083EE9">
        <w:rPr>
          <w:rtl/>
        </w:rPr>
        <w:t xml:space="preserve"> في</w:t>
      </w:r>
      <w:r>
        <w:rPr>
          <w:rtl/>
        </w:rPr>
        <w:t xml:space="preserve"> هذا السياق استقصائية بطبيعتها</w:t>
      </w:r>
      <w:r>
        <w:rPr>
          <w:rFonts w:hint="cs"/>
          <w:rtl/>
        </w:rPr>
        <w:t xml:space="preserve">، </w:t>
      </w:r>
      <w:r w:rsidRPr="00083EE9">
        <w:rPr>
          <w:rtl/>
        </w:rPr>
        <w:t xml:space="preserve">وهي تشمل أنشطة تقصي الحقائق التي يضطلع بها البنك أو الأشخاص المعينون من قبل البنك لمعالجة مسائل محددة تتعلق بالتحقيقات/ عمليات التدقيق، مثل تقييم صحة ادعاء بشأن احتيال وفساد محتمل، من خلال الآليات المناسبة. </w:t>
      </w:r>
      <w:r>
        <w:rPr>
          <w:rFonts w:hint="cs"/>
          <w:rtl/>
        </w:rPr>
        <w:t>و</w:t>
      </w:r>
      <w:r w:rsidRPr="00083EE9">
        <w:rPr>
          <w:rtl/>
        </w:rPr>
        <w:t>يشمل هذا النشاط على سبيل المثال لا الحصر: الوصول إلى السجلات والمعلومات</w:t>
      </w:r>
      <w:r>
        <w:rPr>
          <w:rtl/>
        </w:rPr>
        <w:t xml:space="preserve"> المالية للشركة أو الفرد وفحصها</w:t>
      </w:r>
      <w:r w:rsidRPr="00083EE9">
        <w:rPr>
          <w:rtl/>
        </w:rPr>
        <w:t>، وعمل نسخ منها حسب الاقتضاء ؛ الوصول إلى أي مستندات وبيانات ومعلومات أخرى وفحصها (سواء في نسخة مطبوعة أو إلكترونية) تعتبر ذات صلة بالتحقيق/ التدقيق ، وعمل نسخ منها حسب الاقتضاء</w:t>
      </w:r>
      <w:r>
        <w:rPr>
          <w:rFonts w:hint="cs"/>
          <w:rtl/>
        </w:rPr>
        <w:t>،</w:t>
      </w:r>
      <w:r w:rsidRPr="00083EE9">
        <w:rPr>
          <w:rtl/>
        </w:rPr>
        <w:t xml:space="preserve"> إجراء مقابلات مع المو</w:t>
      </w:r>
      <w:r>
        <w:rPr>
          <w:rtl/>
        </w:rPr>
        <w:t>ظفين والأفراد الآخرين ذوي الصلة</w:t>
      </w:r>
      <w:r>
        <w:rPr>
          <w:rFonts w:hint="cs"/>
          <w:rtl/>
          <w:lang w:bidi="ar-JO"/>
        </w:rPr>
        <w:t>،</w:t>
      </w:r>
      <w:r w:rsidRPr="00083EE9">
        <w:rPr>
          <w:rtl/>
        </w:rPr>
        <w:t xml:space="preserve"> </w:t>
      </w:r>
      <w:r>
        <w:rPr>
          <w:rFonts w:hint="cs"/>
          <w:rtl/>
        </w:rPr>
        <w:t>و</w:t>
      </w:r>
      <w:r w:rsidRPr="00083EE9">
        <w:rPr>
          <w:rtl/>
        </w:rPr>
        <w:t>إجراء عمليات التفتيش المادي وزيارات الموقع</w:t>
      </w:r>
      <w:r>
        <w:rPr>
          <w:rFonts w:hint="cs"/>
          <w:rtl/>
        </w:rPr>
        <w:t>،</w:t>
      </w:r>
      <w:r w:rsidRPr="00083EE9">
        <w:rPr>
          <w:rtl/>
        </w:rPr>
        <w:t xml:space="preserve"> والحصول على التحقق من المعلومات من طرف ثالث</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B84"/>
    <w:multiLevelType w:val="multilevel"/>
    <w:tmpl w:val="25D81336"/>
    <w:lvl w:ilvl="0">
      <w:start w:val="1"/>
      <w:numFmt w:val="arabicAbjad"/>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31855"/>
    <w:multiLevelType w:val="multilevel"/>
    <w:tmpl w:val="B86E00CE"/>
    <w:lvl w:ilvl="0">
      <w:start w:val="1"/>
      <w:numFmt w:val="decimal"/>
      <w:lvlText w:val="%1."/>
      <w:lvlJc w:val="left"/>
      <w:pPr>
        <w:tabs>
          <w:tab w:val="num" w:pos="450"/>
        </w:tabs>
        <w:ind w:left="450" w:hanging="360"/>
      </w:pPr>
      <w:rPr>
        <w:lang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85A9A"/>
    <w:multiLevelType w:val="multilevel"/>
    <w:tmpl w:val="0CFA1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3B441F"/>
    <w:multiLevelType w:val="hybridMultilevel"/>
    <w:tmpl w:val="E892C098"/>
    <w:lvl w:ilvl="0" w:tplc="FF96A442">
      <w:start w:val="1"/>
      <w:numFmt w:val="decimal"/>
      <w:lvlText w:val="%1."/>
      <w:lvlJc w:val="left"/>
      <w:pPr>
        <w:tabs>
          <w:tab w:val="num" w:pos="386"/>
        </w:tabs>
        <w:ind w:left="386"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DB2793"/>
    <w:multiLevelType w:val="hybridMultilevel"/>
    <w:tmpl w:val="43848C38"/>
    <w:lvl w:ilvl="0" w:tplc="76CCF966">
      <w:start w:val="1"/>
      <w:numFmt w:val="arabicAlpha"/>
      <w:lvlText w:val="(%1)"/>
      <w:lvlJc w:val="left"/>
      <w:pPr>
        <w:tabs>
          <w:tab w:val="num" w:pos="386"/>
        </w:tabs>
        <w:ind w:left="386" w:hanging="360"/>
      </w:pPr>
      <w:rPr>
        <w:b/>
      </w:rPr>
    </w:lvl>
    <w:lvl w:ilvl="1" w:tplc="D74892AA">
      <w:start w:val="1"/>
      <w:numFmt w:val="decimal"/>
      <w:lvlText w:val="%2."/>
      <w:lvlJc w:val="left"/>
      <w:pPr>
        <w:tabs>
          <w:tab w:val="num" w:pos="720"/>
        </w:tabs>
        <w:ind w:left="7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D07401"/>
    <w:multiLevelType w:val="multilevel"/>
    <w:tmpl w:val="51FC957A"/>
    <w:lvl w:ilvl="0">
      <w:start w:val="1"/>
      <w:numFmt w:val="arabicAbjad"/>
      <w:lvlText w:val="%1)"/>
      <w:lvlJc w:val="left"/>
      <w:pPr>
        <w:tabs>
          <w:tab w:val="num" w:pos="720"/>
        </w:tabs>
        <w:ind w:left="720" w:hanging="360"/>
      </w:pPr>
      <w:rPr>
        <w:rFonts w:hint="default"/>
      </w:rPr>
    </w:lvl>
    <w:lvl w:ilvl="1">
      <w:start w:val="1"/>
      <w:numFmt w:val="arabicAbjad"/>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B71EF"/>
    <w:multiLevelType w:val="hybridMultilevel"/>
    <w:tmpl w:val="C8C842EE"/>
    <w:lvl w:ilvl="0" w:tplc="B534090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BE143E"/>
    <w:multiLevelType w:val="multilevel"/>
    <w:tmpl w:val="4594A5D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2620CB9"/>
    <w:multiLevelType w:val="multilevel"/>
    <w:tmpl w:val="B86E00CE"/>
    <w:lvl w:ilvl="0">
      <w:start w:val="1"/>
      <w:numFmt w:val="decimal"/>
      <w:lvlText w:val="%1."/>
      <w:lvlJc w:val="left"/>
      <w:pPr>
        <w:tabs>
          <w:tab w:val="num" w:pos="450"/>
        </w:tabs>
        <w:ind w:left="450" w:hanging="360"/>
      </w:pPr>
      <w:rPr>
        <w:lang w:bidi="ar-SA"/>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7847D7"/>
    <w:multiLevelType w:val="singleLevel"/>
    <w:tmpl w:val="AFC0D6EE"/>
    <w:lvl w:ilvl="0">
      <w:start w:val="1"/>
      <w:numFmt w:val="lowerLetter"/>
      <w:lvlText w:val="%1)"/>
      <w:legacy w:legacy="1" w:legacySpace="0" w:legacyIndent="360"/>
      <w:lvlJc w:val="left"/>
      <w:pPr>
        <w:ind w:left="1080" w:hanging="360"/>
      </w:pPr>
    </w:lvl>
  </w:abstractNum>
  <w:abstractNum w:abstractNumId="10" w15:restartNumberingAfterBreak="0">
    <w:nsid w:val="45C13C9D"/>
    <w:multiLevelType w:val="multilevel"/>
    <w:tmpl w:val="B86E00CE"/>
    <w:lvl w:ilvl="0">
      <w:start w:val="1"/>
      <w:numFmt w:val="decimal"/>
      <w:lvlText w:val="%1."/>
      <w:lvlJc w:val="left"/>
      <w:pPr>
        <w:tabs>
          <w:tab w:val="num" w:pos="450"/>
        </w:tabs>
        <w:ind w:left="450" w:hanging="360"/>
      </w:pPr>
      <w:rPr>
        <w:lang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7B1A0D"/>
    <w:multiLevelType w:val="hybridMultilevel"/>
    <w:tmpl w:val="7F1247D6"/>
    <w:lvl w:ilvl="0" w:tplc="2A1AA42C">
      <w:start w:val="1"/>
      <w:numFmt w:val="arabicAbjad"/>
      <w:lvlText w:val="%1."/>
      <w:lvlJc w:val="center"/>
      <w:pPr>
        <w:tabs>
          <w:tab w:val="num" w:pos="1170"/>
        </w:tabs>
        <w:ind w:left="117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D90893"/>
    <w:multiLevelType w:val="multilevel"/>
    <w:tmpl w:val="A50A1C38"/>
    <w:lvl w:ilvl="0">
      <w:start w:val="1"/>
      <w:numFmt w:val="decimal"/>
      <w:lvlText w:val="%1."/>
      <w:lvlJc w:val="left"/>
      <w:pPr>
        <w:ind w:left="720" w:hanging="360"/>
      </w:pPr>
      <w:rPr>
        <w:rFonts w:hint="default"/>
      </w:rPr>
    </w:lvl>
    <w:lvl w:ilvl="1">
      <w:start w:val="12"/>
      <w:numFmt w:val="decimal"/>
      <w:isLgl/>
      <w:lvlText w:val="%1.%2"/>
      <w:lvlJc w:val="left"/>
      <w:pPr>
        <w:ind w:left="1335"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075" w:hanging="1440"/>
      </w:pPr>
      <w:rPr>
        <w:rFonts w:hint="default"/>
      </w:rPr>
    </w:lvl>
    <w:lvl w:ilvl="6">
      <w:start w:val="1"/>
      <w:numFmt w:val="decimal"/>
      <w:isLgl/>
      <w:lvlText w:val="%1.%2.%3.%4.%5.%6.%7"/>
      <w:lvlJc w:val="left"/>
      <w:pPr>
        <w:ind w:left="3690" w:hanging="1800"/>
      </w:pPr>
      <w:rPr>
        <w:rFonts w:hint="default"/>
      </w:rPr>
    </w:lvl>
    <w:lvl w:ilvl="7">
      <w:start w:val="1"/>
      <w:numFmt w:val="decimal"/>
      <w:isLgl/>
      <w:lvlText w:val="%1.%2.%3.%4.%5.%6.%7.%8"/>
      <w:lvlJc w:val="left"/>
      <w:pPr>
        <w:ind w:left="3945" w:hanging="1800"/>
      </w:pPr>
      <w:rPr>
        <w:rFonts w:hint="default"/>
      </w:rPr>
    </w:lvl>
    <w:lvl w:ilvl="8">
      <w:start w:val="1"/>
      <w:numFmt w:val="decimal"/>
      <w:isLgl/>
      <w:lvlText w:val="%1.%2.%3.%4.%5.%6.%7.%8.%9"/>
      <w:lvlJc w:val="left"/>
      <w:pPr>
        <w:ind w:left="4560" w:hanging="2160"/>
      </w:pPr>
      <w:rPr>
        <w:rFonts w:hint="default"/>
      </w:rPr>
    </w:lvl>
  </w:abstractNum>
  <w:abstractNum w:abstractNumId="13" w15:restartNumberingAfterBreak="0">
    <w:nsid w:val="4D3C336A"/>
    <w:multiLevelType w:val="multilevel"/>
    <w:tmpl w:val="29BEA94E"/>
    <w:lvl w:ilvl="0">
      <w:start w:val="2"/>
      <w:numFmt w:val="decimal"/>
      <w:lvlText w:val="%1"/>
      <w:lvlJc w:val="left"/>
      <w:pPr>
        <w:ind w:left="360" w:hanging="360"/>
      </w:pPr>
      <w:rPr>
        <w:rFonts w:hint="default"/>
      </w:rPr>
    </w:lvl>
    <w:lvl w:ilvl="1">
      <w:start w:val="2"/>
      <w:numFmt w:val="decimal"/>
      <w:lvlText w:val="%1.%2"/>
      <w:lvlJc w:val="left"/>
      <w:pPr>
        <w:ind w:left="1454" w:hanging="72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6204" w:hanging="180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8032" w:hanging="2160"/>
      </w:pPr>
      <w:rPr>
        <w:rFonts w:hint="default"/>
      </w:rPr>
    </w:lvl>
  </w:abstractNum>
  <w:abstractNum w:abstractNumId="14" w15:restartNumberingAfterBreak="0">
    <w:nsid w:val="57CB5011"/>
    <w:multiLevelType w:val="hybridMultilevel"/>
    <w:tmpl w:val="C786D4A8"/>
    <w:lvl w:ilvl="0" w:tplc="E52EBA56">
      <w:start w:val="1"/>
      <w:numFmt w:val="arabicAbjad"/>
      <w:lvlText w:val="%1."/>
      <w:lvlJc w:val="left"/>
      <w:pPr>
        <w:ind w:left="720" w:hanging="360"/>
      </w:pPr>
      <w:rPr>
        <w:rFonts w:hint="default"/>
        <w:color w:val="auto"/>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0198B"/>
    <w:multiLevelType w:val="multilevel"/>
    <w:tmpl w:val="0B1C6C4A"/>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6" w15:restartNumberingAfterBreak="0">
    <w:nsid w:val="615E29DF"/>
    <w:multiLevelType w:val="multilevel"/>
    <w:tmpl w:val="436E1E6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arabicAlpha"/>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3B3C63"/>
    <w:multiLevelType w:val="multilevel"/>
    <w:tmpl w:val="5ACE1142"/>
    <w:lvl w:ilvl="0">
      <w:start w:val="1"/>
      <w:numFmt w:val="arabicAlpha"/>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245698"/>
    <w:multiLevelType w:val="multilevel"/>
    <w:tmpl w:val="43AC883E"/>
    <w:lvl w:ilvl="0">
      <w:start w:val="1"/>
      <w:numFmt w:val="decimal"/>
      <w:pStyle w:val="Heading1"/>
      <w:lvlText w:val="%1"/>
      <w:lvlJc w:val="left"/>
      <w:pPr>
        <w:tabs>
          <w:tab w:val="num" w:pos="882"/>
        </w:tabs>
        <w:ind w:left="882" w:hanging="432"/>
      </w:pPr>
      <w:rPr>
        <w:rFonts w:hint="default"/>
        <w:sz w:val="28"/>
        <w:szCs w:val="28"/>
      </w:rPr>
    </w:lvl>
    <w:lvl w:ilvl="1">
      <w:start w:val="1"/>
      <w:numFmt w:val="decimal"/>
      <w:pStyle w:val="Heading2"/>
      <w:lvlText w:val="%1.%2"/>
      <w:lvlJc w:val="left"/>
      <w:pPr>
        <w:tabs>
          <w:tab w:val="num" w:pos="1296"/>
        </w:tabs>
        <w:ind w:left="129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1530"/>
        </w:tabs>
        <w:ind w:left="153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3">
      <w:start w:val="1"/>
      <w:numFmt w:val="decimal"/>
      <w:pStyle w:val="Heading4"/>
      <w:lvlText w:val="%1.%2.%3.%4"/>
      <w:lvlJc w:val="left"/>
      <w:pPr>
        <w:tabs>
          <w:tab w:val="num" w:pos="1006"/>
        </w:tabs>
        <w:ind w:left="1006" w:hanging="864"/>
      </w:pPr>
      <w:rPr>
        <w:rFonts w:hint="default"/>
        <w:i/>
        <w:iCs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5547"/>
        </w:tabs>
        <w:ind w:left="5547"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04B304E"/>
    <w:multiLevelType w:val="hybridMultilevel"/>
    <w:tmpl w:val="6604457A"/>
    <w:lvl w:ilvl="0" w:tplc="0401000F">
      <w:start w:val="1"/>
      <w:numFmt w:val="decimal"/>
      <w:lvlText w:val="%1."/>
      <w:lvlJc w:val="left"/>
      <w:pPr>
        <w:tabs>
          <w:tab w:val="num" w:pos="780"/>
        </w:tabs>
        <w:ind w:left="780" w:right="780" w:hanging="360"/>
      </w:pPr>
    </w:lvl>
    <w:lvl w:ilvl="1" w:tplc="A57639E0">
      <w:start w:val="1"/>
      <w:numFmt w:val="arabicAlpha"/>
      <w:lvlText w:val="%2)"/>
      <w:lvlJc w:val="left"/>
      <w:pPr>
        <w:tabs>
          <w:tab w:val="num" w:pos="1500"/>
        </w:tabs>
        <w:ind w:left="1500" w:right="1500" w:hanging="360"/>
      </w:pPr>
      <w:rPr>
        <w:rFonts w:hint="cs"/>
      </w:rPr>
    </w:lvl>
    <w:lvl w:ilvl="2" w:tplc="0401001B" w:tentative="1">
      <w:start w:val="1"/>
      <w:numFmt w:val="lowerRoman"/>
      <w:lvlText w:val="%3."/>
      <w:lvlJc w:val="right"/>
      <w:pPr>
        <w:tabs>
          <w:tab w:val="num" w:pos="2220"/>
        </w:tabs>
        <w:ind w:left="2220" w:right="2220" w:hanging="180"/>
      </w:p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20" w15:restartNumberingAfterBreak="0">
    <w:nsid w:val="72CB3742"/>
    <w:multiLevelType w:val="hybridMultilevel"/>
    <w:tmpl w:val="53705C8E"/>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E7143"/>
    <w:multiLevelType w:val="hybridMultilevel"/>
    <w:tmpl w:val="EEF28066"/>
    <w:lvl w:ilvl="0" w:tplc="F0A69B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61DFC"/>
    <w:multiLevelType w:val="multilevel"/>
    <w:tmpl w:val="AE86C66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5D7503"/>
    <w:multiLevelType w:val="multilevel"/>
    <w:tmpl w:val="25D81336"/>
    <w:lvl w:ilvl="0">
      <w:start w:val="1"/>
      <w:numFmt w:val="arabicAbjad"/>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343C9C"/>
    <w:multiLevelType w:val="hybridMultilevel"/>
    <w:tmpl w:val="D7C43D22"/>
    <w:lvl w:ilvl="0" w:tplc="A28C4674">
      <w:start w:val="1"/>
      <w:numFmt w:val="arabicAbjad"/>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CBA3945"/>
    <w:multiLevelType w:val="multilevel"/>
    <w:tmpl w:val="3FF61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lpha"/>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8"/>
  </w:num>
  <w:num w:numId="3">
    <w:abstractNumId w:val="22"/>
  </w:num>
  <w:num w:numId="4">
    <w:abstractNumId w:val="17"/>
  </w:num>
  <w:num w:numId="5">
    <w:abstractNumId w:val="25"/>
  </w:num>
  <w:num w:numId="6">
    <w:abstractNumId w:val="16"/>
  </w:num>
  <w:num w:numId="7">
    <w:abstractNumId w:val="0"/>
  </w:num>
  <w:num w:numId="8">
    <w:abstractNumId w:val="5"/>
  </w:num>
  <w:num w:numId="9">
    <w:abstractNumId w:val="24"/>
  </w:num>
  <w:num w:numId="10">
    <w:abstractNumId w:val="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19"/>
  </w:num>
  <w:num w:numId="17">
    <w:abstractNumId w:val="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1"/>
  </w:num>
  <w:num w:numId="22">
    <w:abstractNumId w:val="9"/>
  </w:num>
  <w:num w:numId="23">
    <w:abstractNumId w:val="12"/>
  </w:num>
  <w:num w:numId="24">
    <w:abstractNumId w:val="21"/>
  </w:num>
  <w:num w:numId="25">
    <w:abstractNumId w:val="15"/>
  </w:num>
  <w:num w:numId="26">
    <w:abstractNumId w:val="7"/>
  </w:num>
  <w:num w:numId="27">
    <w:abstractNumId w:val="13"/>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yNDYzMzK3NDI3MbNQ0lEKTi0uzszPAykwqgUAejwDEiwAAAA="/>
  </w:docVars>
  <w:rsids>
    <w:rsidRoot w:val="00A51C9F"/>
    <w:rsid w:val="00033F9C"/>
    <w:rsid w:val="00055638"/>
    <w:rsid w:val="00055CA8"/>
    <w:rsid w:val="00086734"/>
    <w:rsid w:val="00087E96"/>
    <w:rsid w:val="00090B6C"/>
    <w:rsid w:val="00094E00"/>
    <w:rsid w:val="000C7328"/>
    <w:rsid w:val="000E4205"/>
    <w:rsid w:val="0012439E"/>
    <w:rsid w:val="00136CCB"/>
    <w:rsid w:val="0014277A"/>
    <w:rsid w:val="0017129D"/>
    <w:rsid w:val="001957B7"/>
    <w:rsid w:val="0021102C"/>
    <w:rsid w:val="00292986"/>
    <w:rsid w:val="002C1154"/>
    <w:rsid w:val="002E0E70"/>
    <w:rsid w:val="00300A9A"/>
    <w:rsid w:val="003261AA"/>
    <w:rsid w:val="0036490A"/>
    <w:rsid w:val="00385EC1"/>
    <w:rsid w:val="003A68C3"/>
    <w:rsid w:val="003B42FB"/>
    <w:rsid w:val="003D370D"/>
    <w:rsid w:val="00402547"/>
    <w:rsid w:val="00417458"/>
    <w:rsid w:val="00463DA2"/>
    <w:rsid w:val="004933C7"/>
    <w:rsid w:val="004B56CA"/>
    <w:rsid w:val="004C1396"/>
    <w:rsid w:val="004D40D8"/>
    <w:rsid w:val="005963AB"/>
    <w:rsid w:val="00597E77"/>
    <w:rsid w:val="005A2769"/>
    <w:rsid w:val="005A7746"/>
    <w:rsid w:val="00614A31"/>
    <w:rsid w:val="00620D8C"/>
    <w:rsid w:val="006225C0"/>
    <w:rsid w:val="006273D4"/>
    <w:rsid w:val="0068441D"/>
    <w:rsid w:val="006D0B29"/>
    <w:rsid w:val="00713B64"/>
    <w:rsid w:val="007454DB"/>
    <w:rsid w:val="00780626"/>
    <w:rsid w:val="007D1DF1"/>
    <w:rsid w:val="00805F05"/>
    <w:rsid w:val="00821666"/>
    <w:rsid w:val="008543F8"/>
    <w:rsid w:val="00890A2D"/>
    <w:rsid w:val="00922FE7"/>
    <w:rsid w:val="00943821"/>
    <w:rsid w:val="009531E1"/>
    <w:rsid w:val="00966189"/>
    <w:rsid w:val="00973A28"/>
    <w:rsid w:val="00996422"/>
    <w:rsid w:val="009E4F45"/>
    <w:rsid w:val="00A15A9E"/>
    <w:rsid w:val="00A460B9"/>
    <w:rsid w:val="00A47B3C"/>
    <w:rsid w:val="00A51C9F"/>
    <w:rsid w:val="00AA17D6"/>
    <w:rsid w:val="00AB2270"/>
    <w:rsid w:val="00AD267B"/>
    <w:rsid w:val="00B171EB"/>
    <w:rsid w:val="00B51BFF"/>
    <w:rsid w:val="00BC7987"/>
    <w:rsid w:val="00BF455D"/>
    <w:rsid w:val="00C21D9D"/>
    <w:rsid w:val="00C633C7"/>
    <w:rsid w:val="00CC0B20"/>
    <w:rsid w:val="00D41F9B"/>
    <w:rsid w:val="00D634BC"/>
    <w:rsid w:val="00D877E7"/>
    <w:rsid w:val="00DD3EAA"/>
    <w:rsid w:val="00DD7BD4"/>
    <w:rsid w:val="00DF14E5"/>
    <w:rsid w:val="00ED7E9E"/>
    <w:rsid w:val="00F06E83"/>
    <w:rsid w:val="00F071AE"/>
    <w:rsid w:val="00F632ED"/>
    <w:rsid w:val="00F72FF1"/>
    <w:rsid w:val="00F75A86"/>
    <w:rsid w:val="00F80B06"/>
    <w:rsid w:val="00F851AB"/>
    <w:rsid w:val="00F97253"/>
    <w:rsid w:val="00FA7654"/>
    <w:rsid w:val="00FD1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487D4"/>
  <w15:chartTrackingRefBased/>
  <w15:docId w15:val="{B94B1030-87C6-4F23-9A93-8E81813B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C9F"/>
    <w:pPr>
      <w:spacing w:after="200" w:line="276" w:lineRule="auto"/>
    </w:pPr>
    <w:rPr>
      <w:rFonts w:eastAsiaTheme="minorEastAsia"/>
    </w:rPr>
  </w:style>
  <w:style w:type="paragraph" w:styleId="Heading1">
    <w:name w:val="heading 1"/>
    <w:aliases w:val="Document Header1"/>
    <w:basedOn w:val="Normal"/>
    <w:next w:val="Normal"/>
    <w:link w:val="Heading1Char"/>
    <w:qFormat/>
    <w:rsid w:val="00A51C9F"/>
    <w:pPr>
      <w:keepNext/>
      <w:numPr>
        <w:numId w:val="1"/>
      </w:numPr>
      <w:shd w:val="pct12" w:color="auto" w:fill="auto"/>
      <w:spacing w:before="60" w:after="120" w:line="240" w:lineRule="auto"/>
      <w:jc w:val="both"/>
      <w:outlineLvl w:val="0"/>
    </w:pPr>
    <w:rPr>
      <w:rFonts w:ascii="Arial" w:eastAsia="Times New Roman" w:hAnsi="Arial" w:cs="Arial"/>
      <w:b/>
      <w:bCs/>
      <w:smallCaps/>
      <w:kern w:val="32"/>
      <w:sz w:val="28"/>
      <w:szCs w:val="28"/>
    </w:rPr>
  </w:style>
  <w:style w:type="paragraph" w:styleId="Heading2">
    <w:name w:val="heading 2"/>
    <w:aliases w:val="Title Header2"/>
    <w:basedOn w:val="Normal"/>
    <w:next w:val="Normal"/>
    <w:link w:val="Heading2Char"/>
    <w:qFormat/>
    <w:rsid w:val="00A51C9F"/>
    <w:pPr>
      <w:keepNext/>
      <w:numPr>
        <w:ilvl w:val="1"/>
        <w:numId w:val="1"/>
      </w:numPr>
      <w:spacing w:before="240" w:after="60" w:line="240" w:lineRule="auto"/>
      <w:jc w:val="both"/>
      <w:outlineLvl w:val="1"/>
    </w:pPr>
    <w:rPr>
      <w:rFonts w:ascii="Arial" w:eastAsia="Times New Roman" w:hAnsi="Arial" w:cs="Arial"/>
      <w:b/>
      <w:bCs/>
      <w:sz w:val="26"/>
      <w:szCs w:val="26"/>
    </w:rPr>
  </w:style>
  <w:style w:type="paragraph" w:styleId="Heading3">
    <w:name w:val="heading 3"/>
    <w:aliases w:val="Sub-Clause Paragraph,Section Header3"/>
    <w:basedOn w:val="Normal"/>
    <w:next w:val="Normal"/>
    <w:link w:val="Heading3Char"/>
    <w:qFormat/>
    <w:rsid w:val="00A51C9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Heading4">
    <w:name w:val="heading 4"/>
    <w:aliases w:val=" Sub-Clause Sub-paragraph"/>
    <w:basedOn w:val="Normal"/>
    <w:next w:val="Normal"/>
    <w:link w:val="Heading4Char"/>
    <w:qFormat/>
    <w:rsid w:val="00A51C9F"/>
    <w:pPr>
      <w:keepNext/>
      <w:numPr>
        <w:ilvl w:val="3"/>
        <w:numId w:val="1"/>
      </w:numPr>
      <w:spacing w:before="240" w:after="60" w:line="240" w:lineRule="auto"/>
      <w:jc w:val="both"/>
      <w:outlineLvl w:val="3"/>
    </w:pPr>
    <w:rPr>
      <w:rFonts w:ascii="Arial" w:eastAsia="Times New Roman" w:hAnsi="Arial" w:cs="Arial"/>
      <w:b/>
      <w:bCs/>
      <w:sz w:val="28"/>
      <w:szCs w:val="28"/>
    </w:rPr>
  </w:style>
  <w:style w:type="paragraph" w:styleId="Heading5">
    <w:name w:val="heading 5"/>
    <w:basedOn w:val="Normal"/>
    <w:next w:val="Normal"/>
    <w:link w:val="Heading5Char"/>
    <w:qFormat/>
    <w:rsid w:val="00A51C9F"/>
    <w:pPr>
      <w:numPr>
        <w:ilvl w:val="4"/>
        <w:numId w:val="1"/>
      </w:numPr>
      <w:spacing w:before="240" w:after="60" w:line="240" w:lineRule="auto"/>
      <w:jc w:val="both"/>
      <w:outlineLvl w:val="4"/>
    </w:pPr>
    <w:rPr>
      <w:rFonts w:ascii="Arial" w:eastAsia="Times New Roman" w:hAnsi="Arial" w:cs="Arial"/>
      <w:b/>
      <w:bCs/>
      <w:i/>
      <w:iCs/>
      <w:sz w:val="26"/>
      <w:szCs w:val="26"/>
    </w:rPr>
  </w:style>
  <w:style w:type="paragraph" w:styleId="Heading6">
    <w:name w:val="heading 6"/>
    <w:basedOn w:val="Normal"/>
    <w:next w:val="Normal"/>
    <w:link w:val="Heading6Char"/>
    <w:qFormat/>
    <w:rsid w:val="00A51C9F"/>
    <w:pPr>
      <w:numPr>
        <w:ilvl w:val="5"/>
        <w:numId w:val="1"/>
      </w:numPr>
      <w:spacing w:before="240" w:after="60" w:line="240" w:lineRule="auto"/>
      <w:jc w:val="both"/>
      <w:outlineLvl w:val="5"/>
    </w:pPr>
    <w:rPr>
      <w:rFonts w:ascii="Arial" w:eastAsia="Times New Roman" w:hAnsi="Arial" w:cs="Arial"/>
      <w:b/>
      <w:bCs/>
    </w:rPr>
  </w:style>
  <w:style w:type="paragraph" w:styleId="Heading7">
    <w:name w:val="heading 7"/>
    <w:basedOn w:val="Normal"/>
    <w:next w:val="Normal"/>
    <w:link w:val="Heading7Char"/>
    <w:qFormat/>
    <w:rsid w:val="00A51C9F"/>
    <w:pPr>
      <w:numPr>
        <w:ilvl w:val="6"/>
        <w:numId w:val="1"/>
      </w:numPr>
      <w:spacing w:before="240" w:after="60" w:line="240" w:lineRule="auto"/>
      <w:jc w:val="both"/>
      <w:outlineLvl w:val="6"/>
    </w:pPr>
    <w:rPr>
      <w:rFonts w:ascii="Arial" w:eastAsia="Times New Roman" w:hAnsi="Arial" w:cs="Arial"/>
    </w:rPr>
  </w:style>
  <w:style w:type="paragraph" w:styleId="Heading8">
    <w:name w:val="heading 8"/>
    <w:basedOn w:val="Normal"/>
    <w:next w:val="Normal"/>
    <w:link w:val="Heading8Char"/>
    <w:qFormat/>
    <w:rsid w:val="00A51C9F"/>
    <w:pPr>
      <w:numPr>
        <w:ilvl w:val="7"/>
        <w:numId w:val="1"/>
      </w:numPr>
      <w:spacing w:before="240" w:after="60" w:line="240" w:lineRule="auto"/>
      <w:jc w:val="both"/>
      <w:outlineLvl w:val="7"/>
    </w:pPr>
    <w:rPr>
      <w:rFonts w:ascii="Arial" w:eastAsia="Times New Roman" w:hAnsi="Arial" w:cs="Arial"/>
      <w:i/>
      <w:iCs/>
    </w:rPr>
  </w:style>
  <w:style w:type="paragraph" w:styleId="Heading9">
    <w:name w:val="heading 9"/>
    <w:basedOn w:val="Normal"/>
    <w:next w:val="Normal"/>
    <w:link w:val="Heading9Char"/>
    <w:qFormat/>
    <w:rsid w:val="00A51C9F"/>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A51C9F"/>
    <w:rPr>
      <w:rFonts w:ascii="Arial" w:eastAsia="Times New Roman" w:hAnsi="Arial" w:cs="Arial"/>
      <w:b/>
      <w:bCs/>
      <w:smallCaps/>
      <w:kern w:val="32"/>
      <w:sz w:val="28"/>
      <w:szCs w:val="28"/>
      <w:shd w:val="pct12" w:color="auto" w:fill="auto"/>
    </w:rPr>
  </w:style>
  <w:style w:type="character" w:customStyle="1" w:styleId="Heading2Char">
    <w:name w:val="Heading 2 Char"/>
    <w:aliases w:val="Title Header2 Char"/>
    <w:basedOn w:val="DefaultParagraphFont"/>
    <w:link w:val="Heading2"/>
    <w:rsid w:val="00A51C9F"/>
    <w:rPr>
      <w:rFonts w:ascii="Arial" w:eastAsia="Times New Roman" w:hAnsi="Arial" w:cs="Arial"/>
      <w:b/>
      <w:bCs/>
      <w:sz w:val="26"/>
      <w:szCs w:val="26"/>
    </w:rPr>
  </w:style>
  <w:style w:type="character" w:customStyle="1" w:styleId="Heading3Char">
    <w:name w:val="Heading 3 Char"/>
    <w:aliases w:val="Sub-Clause Paragraph Char,Section Header3 Char"/>
    <w:basedOn w:val="DefaultParagraphFont"/>
    <w:link w:val="Heading3"/>
    <w:rsid w:val="00A51C9F"/>
    <w:rPr>
      <w:rFonts w:ascii="Arial" w:eastAsia="Times New Roman" w:hAnsi="Arial" w:cs="Arial"/>
      <w:b/>
      <w:bCs/>
      <w:sz w:val="24"/>
      <w:szCs w:val="24"/>
    </w:rPr>
  </w:style>
  <w:style w:type="character" w:customStyle="1" w:styleId="Heading4Char">
    <w:name w:val="Heading 4 Char"/>
    <w:aliases w:val=" Sub-Clause Sub-paragraph Char"/>
    <w:basedOn w:val="DefaultParagraphFont"/>
    <w:link w:val="Heading4"/>
    <w:rsid w:val="00A51C9F"/>
    <w:rPr>
      <w:rFonts w:ascii="Arial" w:eastAsia="Times New Roman" w:hAnsi="Arial" w:cs="Arial"/>
      <w:b/>
      <w:bCs/>
      <w:sz w:val="28"/>
      <w:szCs w:val="28"/>
    </w:rPr>
  </w:style>
  <w:style w:type="character" w:customStyle="1" w:styleId="Heading5Char">
    <w:name w:val="Heading 5 Char"/>
    <w:basedOn w:val="DefaultParagraphFont"/>
    <w:link w:val="Heading5"/>
    <w:rsid w:val="00A51C9F"/>
    <w:rPr>
      <w:rFonts w:ascii="Arial" w:eastAsia="Times New Roman" w:hAnsi="Arial" w:cs="Arial"/>
      <w:b/>
      <w:bCs/>
      <w:i/>
      <w:iCs/>
      <w:sz w:val="26"/>
      <w:szCs w:val="26"/>
    </w:rPr>
  </w:style>
  <w:style w:type="character" w:customStyle="1" w:styleId="Heading6Char">
    <w:name w:val="Heading 6 Char"/>
    <w:basedOn w:val="DefaultParagraphFont"/>
    <w:link w:val="Heading6"/>
    <w:rsid w:val="00A51C9F"/>
    <w:rPr>
      <w:rFonts w:ascii="Arial" w:eastAsia="Times New Roman" w:hAnsi="Arial" w:cs="Arial"/>
      <w:b/>
      <w:bCs/>
    </w:rPr>
  </w:style>
  <w:style w:type="character" w:customStyle="1" w:styleId="Heading7Char">
    <w:name w:val="Heading 7 Char"/>
    <w:basedOn w:val="DefaultParagraphFont"/>
    <w:link w:val="Heading7"/>
    <w:rsid w:val="00A51C9F"/>
    <w:rPr>
      <w:rFonts w:ascii="Arial" w:eastAsia="Times New Roman" w:hAnsi="Arial" w:cs="Arial"/>
    </w:rPr>
  </w:style>
  <w:style w:type="character" w:customStyle="1" w:styleId="Heading8Char">
    <w:name w:val="Heading 8 Char"/>
    <w:basedOn w:val="DefaultParagraphFont"/>
    <w:link w:val="Heading8"/>
    <w:rsid w:val="00A51C9F"/>
    <w:rPr>
      <w:rFonts w:ascii="Arial" w:eastAsia="Times New Roman" w:hAnsi="Arial" w:cs="Arial"/>
      <w:i/>
      <w:iCs/>
    </w:rPr>
  </w:style>
  <w:style w:type="character" w:customStyle="1" w:styleId="Heading9Char">
    <w:name w:val="Heading 9 Char"/>
    <w:basedOn w:val="DefaultParagraphFont"/>
    <w:link w:val="Heading9"/>
    <w:rsid w:val="00A51C9F"/>
    <w:rPr>
      <w:rFonts w:ascii="Arial" w:eastAsia="Times New Roman" w:hAnsi="Arial" w:cs="Arial"/>
    </w:rPr>
  </w:style>
  <w:style w:type="character" w:customStyle="1" w:styleId="longtext1">
    <w:name w:val="long_text1"/>
    <w:basedOn w:val="DefaultParagraphFont"/>
    <w:rsid w:val="00A51C9F"/>
    <w:rPr>
      <w:sz w:val="13"/>
      <w:szCs w:val="13"/>
    </w:rPr>
  </w:style>
  <w:style w:type="paragraph" w:styleId="FootnoteText">
    <w:name w:val="footnote text"/>
    <w:aliases w:val="single space,FOOTNOTES,fn,ADB,WB-Fußnotentext,Footnote,Fußnote,footnote text"/>
    <w:basedOn w:val="Normal"/>
    <w:link w:val="FootnoteTextChar"/>
    <w:uiPriority w:val="99"/>
    <w:rsid w:val="00A51C9F"/>
    <w:pPr>
      <w:spacing w:after="0" w:line="240" w:lineRule="auto"/>
      <w:jc w:val="both"/>
    </w:pPr>
    <w:rPr>
      <w:rFonts w:ascii="Arial" w:eastAsia="Calibri" w:hAnsi="Arial" w:cs="Arial"/>
      <w:sz w:val="20"/>
      <w:szCs w:val="20"/>
    </w:rPr>
  </w:style>
  <w:style w:type="character" w:customStyle="1" w:styleId="FootnoteTextChar">
    <w:name w:val="Footnote Text Char"/>
    <w:aliases w:val="single space Char,FOOTNOTES Char,fn Char,ADB Char,WB-Fußnotentext Char,Footnote Char,Fußnote Char,footnote text Char"/>
    <w:basedOn w:val="DefaultParagraphFont"/>
    <w:link w:val="FootnoteText"/>
    <w:uiPriority w:val="99"/>
    <w:rsid w:val="00A51C9F"/>
    <w:rPr>
      <w:rFonts w:ascii="Arial" w:eastAsia="Calibri" w:hAnsi="Arial" w:cs="Arial"/>
      <w:sz w:val="20"/>
      <w:szCs w:val="20"/>
    </w:rPr>
  </w:style>
  <w:style w:type="character" w:styleId="FootnoteReference">
    <w:name w:val="footnote reference"/>
    <w:basedOn w:val="DefaultParagraphFont"/>
    <w:rsid w:val="00A51C9F"/>
    <w:rPr>
      <w:rFonts w:cs="Times New Roman"/>
      <w:vertAlign w:val="superscript"/>
    </w:rPr>
  </w:style>
  <w:style w:type="paragraph" w:styleId="ListParagraph">
    <w:name w:val="List Paragraph"/>
    <w:basedOn w:val="Normal"/>
    <w:link w:val="ListParagraphChar"/>
    <w:uiPriority w:val="34"/>
    <w:qFormat/>
    <w:rsid w:val="00A51C9F"/>
    <w:pPr>
      <w:spacing w:after="0" w:line="240" w:lineRule="auto"/>
      <w:ind w:left="720"/>
      <w:jc w:val="both"/>
    </w:pPr>
    <w:rPr>
      <w:rFonts w:ascii="Arial" w:eastAsia="Calibri" w:hAnsi="Arial" w:cs="Arial"/>
    </w:rPr>
  </w:style>
  <w:style w:type="paragraph" w:styleId="BalloonText">
    <w:name w:val="Balloon Text"/>
    <w:basedOn w:val="Normal"/>
    <w:link w:val="BalloonTextChar"/>
    <w:uiPriority w:val="99"/>
    <w:semiHidden/>
    <w:unhideWhenUsed/>
    <w:rsid w:val="00A51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9F"/>
    <w:rPr>
      <w:rFonts w:ascii="Tahoma" w:eastAsiaTheme="minorEastAsia" w:hAnsi="Tahoma" w:cs="Tahoma"/>
      <w:sz w:val="16"/>
      <w:szCs w:val="16"/>
    </w:rPr>
  </w:style>
  <w:style w:type="paragraph" w:styleId="Header">
    <w:name w:val="header"/>
    <w:basedOn w:val="Normal"/>
    <w:link w:val="HeaderChar"/>
    <w:uiPriority w:val="99"/>
    <w:unhideWhenUsed/>
    <w:rsid w:val="00A51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9F"/>
    <w:rPr>
      <w:rFonts w:eastAsiaTheme="minorEastAsia"/>
    </w:rPr>
  </w:style>
  <w:style w:type="paragraph" w:styleId="Footer">
    <w:name w:val="footer"/>
    <w:basedOn w:val="Normal"/>
    <w:link w:val="FooterChar"/>
    <w:uiPriority w:val="99"/>
    <w:unhideWhenUsed/>
    <w:rsid w:val="00A51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9F"/>
    <w:rPr>
      <w:rFonts w:eastAsiaTheme="minorEastAsia"/>
    </w:rPr>
  </w:style>
  <w:style w:type="character" w:styleId="CommentReference">
    <w:name w:val="annotation reference"/>
    <w:basedOn w:val="DefaultParagraphFont"/>
    <w:uiPriority w:val="99"/>
    <w:semiHidden/>
    <w:unhideWhenUsed/>
    <w:rsid w:val="00A51C9F"/>
    <w:rPr>
      <w:sz w:val="16"/>
      <w:szCs w:val="16"/>
    </w:rPr>
  </w:style>
  <w:style w:type="paragraph" w:styleId="CommentText">
    <w:name w:val="annotation text"/>
    <w:basedOn w:val="Normal"/>
    <w:link w:val="CommentTextChar"/>
    <w:uiPriority w:val="99"/>
    <w:semiHidden/>
    <w:unhideWhenUsed/>
    <w:rsid w:val="00A51C9F"/>
    <w:pPr>
      <w:spacing w:line="240" w:lineRule="auto"/>
    </w:pPr>
    <w:rPr>
      <w:sz w:val="20"/>
      <w:szCs w:val="20"/>
    </w:rPr>
  </w:style>
  <w:style w:type="character" w:customStyle="1" w:styleId="CommentTextChar">
    <w:name w:val="Comment Text Char"/>
    <w:basedOn w:val="DefaultParagraphFont"/>
    <w:link w:val="CommentText"/>
    <w:uiPriority w:val="99"/>
    <w:semiHidden/>
    <w:rsid w:val="00A51C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51C9F"/>
    <w:rPr>
      <w:b/>
      <w:bCs/>
    </w:rPr>
  </w:style>
  <w:style w:type="character" w:customStyle="1" w:styleId="CommentSubjectChar">
    <w:name w:val="Comment Subject Char"/>
    <w:basedOn w:val="CommentTextChar"/>
    <w:link w:val="CommentSubject"/>
    <w:uiPriority w:val="99"/>
    <w:semiHidden/>
    <w:rsid w:val="00A51C9F"/>
    <w:rPr>
      <w:rFonts w:eastAsiaTheme="minorEastAsia"/>
      <w:b/>
      <w:bCs/>
      <w:sz w:val="20"/>
      <w:szCs w:val="20"/>
    </w:rPr>
  </w:style>
  <w:style w:type="paragraph" w:styleId="Revision">
    <w:name w:val="Revision"/>
    <w:hidden/>
    <w:uiPriority w:val="99"/>
    <w:semiHidden/>
    <w:rsid w:val="00402547"/>
    <w:pPr>
      <w:spacing w:after="0" w:line="240" w:lineRule="auto"/>
    </w:pPr>
    <w:rPr>
      <w:rFonts w:eastAsiaTheme="minorEastAsia"/>
    </w:rPr>
  </w:style>
  <w:style w:type="paragraph" w:styleId="BodyTextIndent">
    <w:name w:val="Body Text Indent"/>
    <w:basedOn w:val="Normal"/>
    <w:link w:val="BodyTextIndentChar"/>
    <w:rsid w:val="009E4F45"/>
    <w:pPr>
      <w:spacing w:after="0" w:line="240" w:lineRule="auto"/>
      <w:ind w:left="72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E4F45"/>
    <w:rPr>
      <w:rFonts w:ascii="Times New Roman" w:eastAsia="Times New Roman" w:hAnsi="Times New Roman" w:cs="Times New Roman"/>
      <w:sz w:val="24"/>
      <w:szCs w:val="20"/>
    </w:rPr>
  </w:style>
  <w:style w:type="table" w:styleId="TableGrid">
    <w:name w:val="Table Grid"/>
    <w:basedOn w:val="TableNormal"/>
    <w:rsid w:val="0096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C7328"/>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Tutunji</dc:creator>
  <cp:keywords/>
  <dc:description/>
  <cp:lastModifiedBy>Abdullah Al Qudah</cp:lastModifiedBy>
  <cp:revision>2</cp:revision>
  <dcterms:created xsi:type="dcterms:W3CDTF">2026-04-25T22:31:00Z</dcterms:created>
  <dcterms:modified xsi:type="dcterms:W3CDTF">2026-04-25T22:31:00Z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2c31ea27,21795830,5607021e</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2026-03-17T09:48:04Z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467e2365-d062-48a8-912d-ded59de03bad</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