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47A25" w:rsidRPr="00614AA4" w:rsidRDefault="00847A25" w:rsidP="00C61224">
      <w:pPr>
        <w:autoSpaceDE w:val="0"/>
        <w:autoSpaceDN w:val="0"/>
        <w:adjustRightInd w:val="0"/>
        <w:spacing w:after="0" w:line="240" w:lineRule="auto"/>
        <w:jc w:val="center"/>
        <w:rPr>
          <w:rFonts w:eastAsia="ArialMT" w:cs="ArialMT"/>
          <w:b/>
          <w:bCs/>
          <w:sz w:val="26"/>
          <w:szCs w:val="26"/>
        </w:rPr>
      </w:pPr>
      <w:r w:rsidRPr="00614AA4">
        <w:rPr>
          <w:rFonts w:eastAsia="ArialMT" w:cs="ArialMT"/>
          <w:b/>
          <w:bCs/>
          <w:sz w:val="26"/>
          <w:szCs w:val="26"/>
        </w:rPr>
        <w:t>TERMS OF REFERENCE (ToR)</w:t>
      </w:r>
    </w:p>
    <w:p w:rsidR="00847A25" w:rsidRPr="00614AA4" w:rsidRDefault="00847A25" w:rsidP="00C61224">
      <w:pPr>
        <w:autoSpaceDE w:val="0"/>
        <w:autoSpaceDN w:val="0"/>
        <w:adjustRightInd w:val="0"/>
        <w:spacing w:after="0" w:line="240" w:lineRule="auto"/>
        <w:jc w:val="center"/>
        <w:rPr>
          <w:rFonts w:eastAsia="ArialMT" w:cs="ArialMT"/>
          <w:b/>
          <w:bCs/>
          <w:sz w:val="26"/>
          <w:szCs w:val="26"/>
        </w:rPr>
      </w:pPr>
      <w:r w:rsidRPr="00614AA4">
        <w:rPr>
          <w:rFonts w:eastAsia="ArialMT" w:cs="ArialMT"/>
          <w:b/>
          <w:bCs/>
          <w:sz w:val="26"/>
          <w:szCs w:val="26"/>
        </w:rPr>
        <w:t>Project Title: Jordan’s National Investment Roadmap (NI</w:t>
      </w:r>
      <w:r w:rsidR="00A823F9" w:rsidRPr="00614AA4">
        <w:rPr>
          <w:rFonts w:eastAsia="ArialMT" w:cs="Courier New"/>
          <w:b/>
          <w:bCs/>
          <w:sz w:val="26"/>
          <w:szCs w:val="26"/>
        </w:rPr>
        <w:t>R</w:t>
      </w:r>
      <w:r w:rsidRPr="00614AA4">
        <w:rPr>
          <w:rFonts w:eastAsia="ArialMT" w:cs="ArialMT"/>
          <w:b/>
          <w:bCs/>
          <w:sz w:val="26"/>
          <w:szCs w:val="26"/>
        </w:rPr>
        <w:t>)</w:t>
      </w:r>
      <w:r w:rsidR="00AC43D0" w:rsidRPr="00614AA4">
        <w:rPr>
          <w:rFonts w:eastAsia="ArialMT" w:cs="ArialMT"/>
          <w:b/>
          <w:bCs/>
          <w:sz w:val="26"/>
          <w:szCs w:val="26"/>
        </w:rPr>
        <w:t xml:space="preserve"> 2024-2027</w:t>
      </w:r>
    </w:p>
    <w:p w:rsidR="00847A25" w:rsidRPr="00614AA4" w:rsidRDefault="00847A25" w:rsidP="00C61224">
      <w:pPr>
        <w:autoSpaceDE w:val="0"/>
        <w:autoSpaceDN w:val="0"/>
        <w:adjustRightInd w:val="0"/>
        <w:spacing w:after="0" w:line="240" w:lineRule="auto"/>
        <w:jc w:val="center"/>
        <w:rPr>
          <w:rFonts w:eastAsia="ArialMT" w:cs="ArialMT"/>
          <w:b/>
          <w:bCs/>
          <w:sz w:val="26"/>
          <w:szCs w:val="26"/>
        </w:rPr>
      </w:pPr>
    </w:p>
    <w:p w:rsidR="00847A25" w:rsidRPr="00614AA4" w:rsidRDefault="00847A25" w:rsidP="00C61224">
      <w:pPr>
        <w:autoSpaceDE w:val="0"/>
        <w:autoSpaceDN w:val="0"/>
        <w:adjustRightInd w:val="0"/>
        <w:spacing w:after="0" w:line="240" w:lineRule="auto"/>
        <w:jc w:val="both"/>
        <w:rPr>
          <w:rFonts w:eastAsia="ArialMT" w:cs="ArialMT"/>
          <w:b/>
          <w:bCs/>
          <w:sz w:val="26"/>
          <w:szCs w:val="26"/>
        </w:rPr>
      </w:pPr>
    </w:p>
    <w:p w:rsidR="00847A25" w:rsidRPr="00614AA4" w:rsidRDefault="00847A25" w:rsidP="00D21F91">
      <w:pPr>
        <w:numPr>
          <w:ilvl w:val="0"/>
          <w:numId w:val="4"/>
        </w:numPr>
        <w:spacing w:after="100" w:afterAutospacing="1"/>
        <w:ind w:left="0" w:firstLine="0"/>
        <w:jc w:val="both"/>
        <w:rPr>
          <w:rFonts w:ascii="Garamond" w:hAnsi="Garamond"/>
          <w:b/>
          <w:bCs/>
          <w:sz w:val="28"/>
          <w:szCs w:val="28"/>
        </w:rPr>
      </w:pPr>
      <w:r w:rsidRPr="00614AA4">
        <w:rPr>
          <w:rFonts w:ascii="Garamond" w:hAnsi="Garamond"/>
          <w:b/>
          <w:bCs/>
          <w:sz w:val="28"/>
          <w:szCs w:val="28"/>
        </w:rPr>
        <w:t>Background</w:t>
      </w:r>
    </w:p>
    <w:p w:rsidR="00AC43D0" w:rsidRPr="00614AA4" w:rsidRDefault="00AC43D0" w:rsidP="00AC43D0">
      <w:pPr>
        <w:jc w:val="both"/>
        <w:rPr>
          <w:rFonts w:ascii="Garamond" w:hAnsi="Garamond"/>
          <w:sz w:val="26"/>
          <w:szCs w:val="26"/>
        </w:rPr>
      </w:pPr>
      <w:r w:rsidRPr="00614AA4">
        <w:rPr>
          <w:rFonts w:ascii="Garamond" w:hAnsi="Garamond"/>
          <w:sz w:val="26"/>
          <w:szCs w:val="26"/>
        </w:rPr>
        <w:t>The Ministry of Investment (hereinafter: The Ministry) was established as the main reference authority for Investment in the Kingdom of Jordan, aiming to attract, encourage and promote Investment, ensure the sustainability of an attractive investment climate, and enhance confidence in, develop and organize the investment environment. The Ministry has replaced the Jordan Investment Commission (JIC) as Jordan’s central reference authority for Investment.</w:t>
      </w:r>
    </w:p>
    <w:p w:rsidR="00AC43D0" w:rsidRPr="00614AA4" w:rsidRDefault="00AC43D0" w:rsidP="008166A0">
      <w:pPr>
        <w:jc w:val="both"/>
        <w:rPr>
          <w:rFonts w:ascii="Garamond" w:hAnsi="Garamond"/>
          <w:sz w:val="26"/>
          <w:szCs w:val="26"/>
        </w:rPr>
      </w:pPr>
      <w:r w:rsidRPr="00614AA4">
        <w:rPr>
          <w:rFonts w:ascii="Garamond" w:hAnsi="Garamond"/>
          <w:sz w:val="26"/>
          <w:szCs w:val="26"/>
        </w:rPr>
        <w:t xml:space="preserve"> The Government has issued a new Investment Environment law and related regulations. The new law aims to attract more investments and enable existing ones through policies that encourage investment and promote the competitiveness of the main economic sectors in Jordan; the establishment of MOIN as the primary entity responsible for managing and overseeing Investment affairs in the kingdom; and facilitating investment processes.  A Royal Decree has also been recently issued approving a bylaw regulating the investment environment, which entails granting investors incentives, exemptions, and advantages within certain terms and conditions. The Ministry has also developed an investment promotion strategy (IPS) to target specific markets and companies within high-priority investment sectors.</w:t>
      </w:r>
    </w:p>
    <w:p w:rsidR="002E3DAA" w:rsidRPr="00614AA4" w:rsidRDefault="00392E73" w:rsidP="002E3DAA">
      <w:pPr>
        <w:jc w:val="both"/>
        <w:rPr>
          <w:rFonts w:ascii="Garamond" w:hAnsi="Garamond"/>
          <w:sz w:val="26"/>
          <w:szCs w:val="26"/>
        </w:rPr>
      </w:pPr>
      <w:r w:rsidRPr="00614AA4">
        <w:rPr>
          <w:rFonts w:ascii="Garamond" w:hAnsi="Garamond"/>
          <w:sz w:val="26"/>
          <w:szCs w:val="26"/>
        </w:rPr>
        <w:t xml:space="preserve">The aforementioned strategic promotional approach, accompanied with the new institutional structure will be a driving force towards the implementation of the Investment Driver under the Economic Modernization Vision (EMV) </w:t>
      </w:r>
      <w:r w:rsidR="002E3DAA" w:rsidRPr="00614AA4">
        <w:rPr>
          <w:rFonts w:ascii="Garamond" w:hAnsi="Garamond"/>
          <w:sz w:val="26"/>
          <w:szCs w:val="26"/>
        </w:rPr>
        <w:t xml:space="preserve">with a timeframe till 2033 </w:t>
      </w:r>
      <w:r w:rsidRPr="00614AA4">
        <w:rPr>
          <w:rFonts w:ascii="Garamond" w:hAnsi="Garamond"/>
          <w:sz w:val="26"/>
          <w:szCs w:val="26"/>
        </w:rPr>
        <w:t xml:space="preserve">and its </w:t>
      </w:r>
      <w:r w:rsidR="002E3DAA" w:rsidRPr="00614AA4">
        <w:rPr>
          <w:rFonts w:ascii="Garamond" w:hAnsi="Garamond"/>
          <w:sz w:val="26"/>
          <w:szCs w:val="26"/>
        </w:rPr>
        <w:t xml:space="preserve">current </w:t>
      </w:r>
      <w:r w:rsidRPr="00614AA4">
        <w:rPr>
          <w:rFonts w:ascii="Garamond" w:hAnsi="Garamond"/>
          <w:sz w:val="26"/>
          <w:szCs w:val="26"/>
        </w:rPr>
        <w:t>executive program spanning until 20</w:t>
      </w:r>
      <w:r w:rsidR="002E3DAA" w:rsidRPr="00614AA4">
        <w:rPr>
          <w:rFonts w:ascii="Garamond" w:hAnsi="Garamond"/>
          <w:sz w:val="26"/>
          <w:szCs w:val="26"/>
        </w:rPr>
        <w:t>25</w:t>
      </w:r>
      <w:r w:rsidRPr="00614AA4">
        <w:rPr>
          <w:rFonts w:ascii="Garamond" w:hAnsi="Garamond"/>
          <w:sz w:val="26"/>
          <w:szCs w:val="26"/>
        </w:rPr>
        <w:t xml:space="preserve">. The EMV has acknowledged and specified the need for a </w:t>
      </w:r>
      <w:r w:rsidR="002E3DAA" w:rsidRPr="00614AA4">
        <w:rPr>
          <w:rFonts w:ascii="Garamond" w:hAnsi="Garamond"/>
          <w:sz w:val="26"/>
          <w:szCs w:val="26"/>
        </w:rPr>
        <w:t xml:space="preserve">National Investment Roadmap (NIR) which will </w:t>
      </w:r>
      <w:r w:rsidR="00AC43D0" w:rsidRPr="00614AA4">
        <w:rPr>
          <w:rFonts w:ascii="Garamond" w:hAnsi="Garamond"/>
          <w:sz w:val="26"/>
          <w:szCs w:val="26"/>
        </w:rPr>
        <w:t xml:space="preserve">steer the needed efforts and </w:t>
      </w:r>
      <w:r w:rsidR="002E3DAA" w:rsidRPr="00614AA4">
        <w:rPr>
          <w:rFonts w:ascii="Garamond" w:hAnsi="Garamond"/>
          <w:sz w:val="26"/>
          <w:szCs w:val="26"/>
        </w:rPr>
        <w:t xml:space="preserve">coordination </w:t>
      </w:r>
      <w:r w:rsidR="00AC43D0" w:rsidRPr="00614AA4">
        <w:rPr>
          <w:rFonts w:ascii="Garamond" w:hAnsi="Garamond"/>
          <w:sz w:val="26"/>
          <w:szCs w:val="26"/>
        </w:rPr>
        <w:t xml:space="preserve">with different </w:t>
      </w:r>
      <w:r w:rsidR="002E3DAA" w:rsidRPr="00614AA4">
        <w:rPr>
          <w:rFonts w:ascii="Garamond" w:hAnsi="Garamond"/>
          <w:sz w:val="26"/>
          <w:szCs w:val="26"/>
        </w:rPr>
        <w:t xml:space="preserve">relevant </w:t>
      </w:r>
      <w:r w:rsidR="00AC43D0" w:rsidRPr="00614AA4">
        <w:rPr>
          <w:rFonts w:ascii="Garamond" w:hAnsi="Garamond"/>
          <w:sz w:val="26"/>
          <w:szCs w:val="26"/>
        </w:rPr>
        <w:t xml:space="preserve">public and private </w:t>
      </w:r>
      <w:r w:rsidR="002E3DAA" w:rsidRPr="00614AA4">
        <w:rPr>
          <w:rFonts w:ascii="Garamond" w:hAnsi="Garamond"/>
          <w:sz w:val="26"/>
          <w:szCs w:val="26"/>
        </w:rPr>
        <w:t>entities to ensure the</w:t>
      </w:r>
      <w:r w:rsidR="00AC43D0" w:rsidRPr="00614AA4">
        <w:rPr>
          <w:rFonts w:ascii="Garamond" w:hAnsi="Garamond"/>
          <w:sz w:val="26"/>
          <w:szCs w:val="26"/>
        </w:rPr>
        <w:t xml:space="preserve"> implementation of </w:t>
      </w:r>
      <w:r w:rsidR="002E3DAA" w:rsidRPr="00614AA4">
        <w:rPr>
          <w:rFonts w:ascii="Garamond" w:hAnsi="Garamond"/>
          <w:sz w:val="26"/>
          <w:szCs w:val="26"/>
        </w:rPr>
        <w:t>the Investment Driver</w:t>
      </w:r>
      <w:r w:rsidR="008166A0" w:rsidRPr="00614AA4">
        <w:rPr>
          <w:rFonts w:ascii="Garamond" w:hAnsi="Garamond"/>
          <w:sz w:val="26"/>
          <w:szCs w:val="26"/>
        </w:rPr>
        <w:t>.</w:t>
      </w:r>
      <w:r w:rsidR="00320A6D" w:rsidRPr="00614AA4">
        <w:rPr>
          <w:rFonts w:ascii="Garamond" w:hAnsi="Garamond"/>
          <w:sz w:val="26"/>
          <w:szCs w:val="26"/>
        </w:rPr>
        <w:t xml:space="preserve"> </w:t>
      </w:r>
    </w:p>
    <w:p w:rsidR="00847A25" w:rsidRPr="00614AA4" w:rsidRDefault="0038478A" w:rsidP="002E3DAA">
      <w:pPr>
        <w:jc w:val="both"/>
        <w:rPr>
          <w:rFonts w:ascii="Garamond" w:hAnsi="Garamond"/>
          <w:sz w:val="26"/>
          <w:szCs w:val="26"/>
        </w:rPr>
      </w:pPr>
      <w:r w:rsidRPr="00614AA4">
        <w:rPr>
          <w:rFonts w:ascii="Garamond" w:hAnsi="Garamond"/>
          <w:sz w:val="26"/>
          <w:szCs w:val="26"/>
        </w:rPr>
        <w:t>The n</w:t>
      </w:r>
      <w:r w:rsidR="00847A25" w:rsidRPr="00614AA4">
        <w:rPr>
          <w:rFonts w:ascii="Garamond" w:hAnsi="Garamond"/>
          <w:sz w:val="26"/>
          <w:szCs w:val="26"/>
        </w:rPr>
        <w:t xml:space="preserve">eed for </w:t>
      </w:r>
      <w:r w:rsidRPr="00614AA4">
        <w:rPr>
          <w:rFonts w:ascii="Garamond" w:hAnsi="Garamond"/>
          <w:sz w:val="26"/>
          <w:szCs w:val="26"/>
        </w:rPr>
        <w:t xml:space="preserve">a </w:t>
      </w:r>
      <w:r w:rsidR="00847A25" w:rsidRPr="00614AA4">
        <w:rPr>
          <w:rFonts w:ascii="Garamond" w:hAnsi="Garamond"/>
          <w:sz w:val="26"/>
          <w:szCs w:val="26"/>
        </w:rPr>
        <w:t>National Investment Roadmap (NI</w:t>
      </w:r>
      <w:r w:rsidR="00292FF5" w:rsidRPr="00614AA4">
        <w:rPr>
          <w:rFonts w:ascii="Garamond" w:hAnsi="Garamond"/>
          <w:sz w:val="26"/>
          <w:szCs w:val="26"/>
        </w:rPr>
        <w:t>R</w:t>
      </w:r>
      <w:r w:rsidR="00847A25" w:rsidRPr="00614AA4">
        <w:rPr>
          <w:rFonts w:ascii="Garamond" w:hAnsi="Garamond"/>
          <w:sz w:val="26"/>
          <w:szCs w:val="26"/>
        </w:rPr>
        <w:t xml:space="preserve">) </w:t>
      </w:r>
      <w:r w:rsidR="002E3DAA" w:rsidRPr="00614AA4">
        <w:rPr>
          <w:rFonts w:ascii="Garamond" w:hAnsi="Garamond"/>
          <w:sz w:val="26"/>
          <w:szCs w:val="26"/>
        </w:rPr>
        <w:t>will serve</w:t>
      </w:r>
      <w:r w:rsidR="00847A25" w:rsidRPr="00614AA4">
        <w:rPr>
          <w:rFonts w:ascii="Garamond" w:hAnsi="Garamond"/>
          <w:sz w:val="26"/>
          <w:szCs w:val="26"/>
        </w:rPr>
        <w:t xml:space="preserve"> as a reference document for all </w:t>
      </w:r>
      <w:r w:rsidR="00B824C7" w:rsidRPr="00614AA4">
        <w:rPr>
          <w:rFonts w:ascii="Garamond" w:hAnsi="Garamond"/>
          <w:sz w:val="26"/>
          <w:szCs w:val="26"/>
        </w:rPr>
        <w:t>stakeholders</w:t>
      </w:r>
      <w:r w:rsidR="00847A25" w:rsidRPr="00614AA4">
        <w:rPr>
          <w:rFonts w:ascii="Garamond" w:hAnsi="Garamond"/>
          <w:sz w:val="26"/>
          <w:szCs w:val="26"/>
        </w:rPr>
        <w:t xml:space="preserve"> involved in the investment enhancement process</w:t>
      </w:r>
      <w:r w:rsidR="002E3DAA" w:rsidRPr="00614AA4">
        <w:rPr>
          <w:rFonts w:ascii="Garamond" w:hAnsi="Garamond"/>
          <w:sz w:val="26"/>
          <w:szCs w:val="26"/>
        </w:rPr>
        <w:t xml:space="preserve"> leading to the targets as laid out in the EMV</w:t>
      </w:r>
    </w:p>
    <w:p w:rsidR="00D21F91" w:rsidRPr="00614AA4" w:rsidRDefault="00D21F91" w:rsidP="00D21F91">
      <w:pPr>
        <w:jc w:val="both"/>
        <w:rPr>
          <w:rFonts w:ascii="Garamond" w:hAnsi="Garamond"/>
          <w:sz w:val="26"/>
          <w:szCs w:val="26"/>
        </w:rPr>
      </w:pPr>
    </w:p>
    <w:p w:rsidR="008166A0" w:rsidRPr="00614AA4" w:rsidRDefault="008166A0" w:rsidP="00D21F91">
      <w:pPr>
        <w:numPr>
          <w:ilvl w:val="0"/>
          <w:numId w:val="4"/>
        </w:numPr>
        <w:spacing w:after="100" w:afterAutospacing="1"/>
        <w:ind w:left="0" w:firstLine="0"/>
        <w:jc w:val="both"/>
        <w:rPr>
          <w:rFonts w:ascii="Garamond" w:hAnsi="Garamond"/>
          <w:b/>
          <w:bCs/>
          <w:sz w:val="28"/>
          <w:szCs w:val="28"/>
        </w:rPr>
      </w:pPr>
      <w:r w:rsidRPr="00614AA4">
        <w:rPr>
          <w:rFonts w:ascii="Garamond" w:hAnsi="Garamond"/>
          <w:b/>
          <w:bCs/>
          <w:sz w:val="28"/>
          <w:szCs w:val="28"/>
        </w:rPr>
        <w:t xml:space="preserve">Main Objectives of the Roadmap </w:t>
      </w:r>
    </w:p>
    <w:p w:rsidR="00A37A38" w:rsidRPr="00614AA4" w:rsidRDefault="00A37A38" w:rsidP="008166A0">
      <w:pPr>
        <w:jc w:val="both"/>
        <w:rPr>
          <w:rFonts w:ascii="Garamond" w:hAnsi="Garamond"/>
          <w:sz w:val="26"/>
          <w:szCs w:val="26"/>
        </w:rPr>
      </w:pPr>
      <w:r w:rsidRPr="00614AA4">
        <w:rPr>
          <w:rFonts w:ascii="Garamond" w:hAnsi="Garamond"/>
          <w:sz w:val="26"/>
          <w:szCs w:val="26"/>
        </w:rPr>
        <w:t xml:space="preserve">Jordan's Economic Modernization Vision is structured around two strategic pillars aimed to accelerate economic growth and Job Opportunity by unlocking the nation's economic potential, this NIR which is placed at the core of the vision </w:t>
      </w:r>
      <w:r w:rsidR="002E3DAA" w:rsidRPr="00614AA4">
        <w:rPr>
          <w:rFonts w:ascii="Garamond" w:hAnsi="Garamond"/>
          <w:sz w:val="26"/>
          <w:szCs w:val="26"/>
        </w:rPr>
        <w:t>and will serve as a tracker of the different necessary steps guiding, harmonizing and leading</w:t>
      </w:r>
      <w:r w:rsidRPr="00614AA4">
        <w:rPr>
          <w:rFonts w:ascii="Garamond" w:hAnsi="Garamond"/>
          <w:sz w:val="26"/>
          <w:szCs w:val="26"/>
        </w:rPr>
        <w:t xml:space="preserve"> </w:t>
      </w:r>
      <w:r w:rsidR="002E3DAA" w:rsidRPr="00614AA4">
        <w:rPr>
          <w:rFonts w:ascii="Garamond" w:hAnsi="Garamond"/>
          <w:sz w:val="26"/>
          <w:szCs w:val="26"/>
        </w:rPr>
        <w:t>the way towards the EMV implementation</w:t>
      </w:r>
      <w:r w:rsidRPr="00614AA4">
        <w:rPr>
          <w:rFonts w:ascii="Garamond" w:hAnsi="Garamond"/>
          <w:sz w:val="26"/>
          <w:szCs w:val="26"/>
        </w:rPr>
        <w:t>.</w:t>
      </w:r>
    </w:p>
    <w:p w:rsidR="00744DD2" w:rsidRPr="00614AA4" w:rsidRDefault="008166A0" w:rsidP="00A37A38">
      <w:pPr>
        <w:jc w:val="both"/>
        <w:rPr>
          <w:rFonts w:ascii="Garamond" w:hAnsi="Garamond"/>
          <w:sz w:val="26"/>
          <w:szCs w:val="26"/>
        </w:rPr>
      </w:pPr>
      <w:r w:rsidRPr="00614AA4">
        <w:rPr>
          <w:rFonts w:ascii="Garamond" w:hAnsi="Garamond"/>
          <w:sz w:val="26"/>
          <w:szCs w:val="26"/>
        </w:rPr>
        <w:t xml:space="preserve">The Objective of this assignment </w:t>
      </w:r>
      <w:r w:rsidR="00462EE8" w:rsidRPr="00614AA4">
        <w:rPr>
          <w:rFonts w:ascii="Garamond" w:hAnsi="Garamond"/>
          <w:sz w:val="26"/>
          <w:szCs w:val="26"/>
        </w:rPr>
        <w:t xml:space="preserve">is in line with the objectives of EMV and other previous strategic document, </w:t>
      </w:r>
      <w:r w:rsidR="00B57CF7" w:rsidRPr="00614AA4">
        <w:rPr>
          <w:rFonts w:ascii="Garamond" w:hAnsi="Garamond"/>
          <w:sz w:val="26"/>
          <w:szCs w:val="26"/>
        </w:rPr>
        <w:t>where</w:t>
      </w:r>
      <w:r w:rsidR="000E360D" w:rsidRPr="00614AA4">
        <w:rPr>
          <w:rFonts w:ascii="Garamond" w:hAnsi="Garamond"/>
          <w:sz w:val="26"/>
          <w:szCs w:val="26"/>
        </w:rPr>
        <w:t xml:space="preserve">, the Ministry is seeking the services of a high-quality Firm (hereinafter: The Firm) to deliver consulting services to develop Jordan’s National Investment Roadmap (NIR) 2024-2027 (hereinafter: The Roadmap). The purpose of the roadmap is to serve as an important reference for the future preparation </w:t>
      </w:r>
      <w:r w:rsidR="002E3DAA" w:rsidRPr="00614AA4">
        <w:rPr>
          <w:rFonts w:ascii="Garamond" w:hAnsi="Garamond"/>
          <w:sz w:val="26"/>
          <w:szCs w:val="26"/>
        </w:rPr>
        <w:t>and</w:t>
      </w:r>
      <w:r w:rsidR="000E360D" w:rsidRPr="00614AA4">
        <w:rPr>
          <w:rFonts w:ascii="Garamond" w:hAnsi="Garamond"/>
          <w:sz w:val="26"/>
          <w:szCs w:val="26"/>
        </w:rPr>
        <w:t xml:space="preserve"> articulati</w:t>
      </w:r>
      <w:r w:rsidR="002E3DAA" w:rsidRPr="00614AA4">
        <w:rPr>
          <w:rFonts w:ascii="Garamond" w:hAnsi="Garamond"/>
          <w:sz w:val="26"/>
          <w:szCs w:val="26"/>
        </w:rPr>
        <w:t>on</w:t>
      </w:r>
      <w:r w:rsidR="000E360D" w:rsidRPr="00614AA4">
        <w:rPr>
          <w:rFonts w:ascii="Garamond" w:hAnsi="Garamond"/>
          <w:sz w:val="26"/>
          <w:szCs w:val="26"/>
        </w:rPr>
        <w:t xml:space="preserve"> </w:t>
      </w:r>
      <w:r w:rsidR="002E3DAA" w:rsidRPr="00614AA4">
        <w:rPr>
          <w:rFonts w:ascii="Garamond" w:hAnsi="Garamond"/>
          <w:sz w:val="26"/>
          <w:szCs w:val="26"/>
        </w:rPr>
        <w:t xml:space="preserve">of </w:t>
      </w:r>
      <w:r w:rsidR="000E360D" w:rsidRPr="00614AA4">
        <w:rPr>
          <w:rFonts w:ascii="Garamond" w:hAnsi="Garamond"/>
          <w:sz w:val="26"/>
          <w:szCs w:val="26"/>
        </w:rPr>
        <w:t xml:space="preserve">various future interventions and necessary strategic directions </w:t>
      </w:r>
      <w:r w:rsidR="002E3DAA" w:rsidRPr="00614AA4">
        <w:rPr>
          <w:rFonts w:ascii="Garamond" w:hAnsi="Garamond"/>
          <w:sz w:val="26"/>
          <w:szCs w:val="26"/>
        </w:rPr>
        <w:t>guiding all stakeholders towards the implementation of the Investment-related objectives under the EMV</w:t>
      </w:r>
      <w:r w:rsidR="000E360D" w:rsidRPr="00614AA4">
        <w:rPr>
          <w:rFonts w:ascii="Garamond" w:hAnsi="Garamond"/>
          <w:sz w:val="26"/>
          <w:szCs w:val="26"/>
        </w:rPr>
        <w:t>.</w:t>
      </w:r>
      <w:r w:rsidR="002E3DAA" w:rsidRPr="00614AA4">
        <w:rPr>
          <w:rFonts w:ascii="Garamond" w:hAnsi="Garamond"/>
          <w:sz w:val="26"/>
          <w:szCs w:val="26"/>
        </w:rPr>
        <w:t xml:space="preserve"> </w:t>
      </w:r>
      <w:r w:rsidR="00AB4937" w:rsidRPr="00614AA4">
        <w:rPr>
          <w:rFonts w:ascii="Garamond" w:hAnsi="Garamond"/>
          <w:sz w:val="26"/>
          <w:szCs w:val="26"/>
        </w:rPr>
        <w:t xml:space="preserve">Furthermore, the </w:t>
      </w:r>
      <w:r w:rsidR="00D65015" w:rsidRPr="00614AA4">
        <w:rPr>
          <w:rFonts w:ascii="Garamond" w:hAnsi="Garamond"/>
          <w:sz w:val="26"/>
          <w:szCs w:val="26"/>
        </w:rPr>
        <w:t xml:space="preserve">NIR </w:t>
      </w:r>
      <w:r w:rsidR="00AB4937" w:rsidRPr="00614AA4">
        <w:rPr>
          <w:rFonts w:ascii="Garamond" w:hAnsi="Garamond"/>
          <w:sz w:val="26"/>
          <w:szCs w:val="26"/>
        </w:rPr>
        <w:t xml:space="preserve">consultancy assignment </w:t>
      </w:r>
      <w:r w:rsidR="002E3DAA" w:rsidRPr="00614AA4">
        <w:rPr>
          <w:rFonts w:ascii="Garamond" w:hAnsi="Garamond"/>
          <w:sz w:val="26"/>
          <w:szCs w:val="26"/>
        </w:rPr>
        <w:t>will support MOIN in the review of past and present strategic and actionable documents to</w:t>
      </w:r>
      <w:r w:rsidR="00AB4937" w:rsidRPr="00614AA4">
        <w:rPr>
          <w:rFonts w:ascii="Garamond" w:hAnsi="Garamond"/>
          <w:sz w:val="26"/>
          <w:szCs w:val="26"/>
        </w:rPr>
        <w:t xml:space="preserve"> i</w:t>
      </w:r>
      <w:r w:rsidR="00462EE8" w:rsidRPr="00614AA4">
        <w:rPr>
          <w:rFonts w:ascii="Garamond" w:hAnsi="Garamond"/>
          <w:sz w:val="26"/>
          <w:szCs w:val="26"/>
        </w:rPr>
        <w:t xml:space="preserve">dentify opportunities for </w:t>
      </w:r>
      <w:r w:rsidR="00B9602F" w:rsidRPr="00614AA4">
        <w:rPr>
          <w:rFonts w:ascii="Garamond" w:hAnsi="Garamond"/>
          <w:sz w:val="26"/>
          <w:szCs w:val="26"/>
        </w:rPr>
        <w:t>improvement,</w:t>
      </w:r>
      <w:r w:rsidR="002E3DAA" w:rsidRPr="00614AA4">
        <w:rPr>
          <w:rFonts w:ascii="Garamond" w:hAnsi="Garamond"/>
          <w:sz w:val="26"/>
          <w:szCs w:val="26"/>
        </w:rPr>
        <w:t xml:space="preserve"> particularly</w:t>
      </w:r>
      <w:r w:rsidR="001D037B" w:rsidRPr="00614AA4">
        <w:rPr>
          <w:rFonts w:ascii="Garamond" w:hAnsi="Garamond"/>
          <w:sz w:val="26"/>
          <w:szCs w:val="26"/>
        </w:rPr>
        <w:t xml:space="preserve"> </w:t>
      </w:r>
      <w:r w:rsidR="00AA74CA" w:rsidRPr="00614AA4">
        <w:rPr>
          <w:rFonts w:ascii="Garamond" w:hAnsi="Garamond"/>
          <w:sz w:val="26"/>
          <w:szCs w:val="26"/>
        </w:rPr>
        <w:t xml:space="preserve">on how </w:t>
      </w:r>
      <w:r w:rsidR="001D037B" w:rsidRPr="00614AA4">
        <w:rPr>
          <w:rFonts w:ascii="Garamond" w:hAnsi="Garamond"/>
          <w:sz w:val="26"/>
          <w:szCs w:val="26"/>
        </w:rPr>
        <w:t xml:space="preserve">to attract FDI </w:t>
      </w:r>
      <w:r w:rsidR="002E3DAA" w:rsidRPr="00614AA4">
        <w:rPr>
          <w:rFonts w:ascii="Garamond" w:hAnsi="Garamond"/>
          <w:sz w:val="26"/>
          <w:szCs w:val="26"/>
        </w:rPr>
        <w:t>in</w:t>
      </w:r>
      <w:r w:rsidR="00AA74CA" w:rsidRPr="00614AA4">
        <w:rPr>
          <w:rFonts w:ascii="Garamond" w:hAnsi="Garamond"/>
          <w:sz w:val="26"/>
          <w:szCs w:val="26"/>
        </w:rPr>
        <w:t>to Jordan</w:t>
      </w:r>
      <w:r w:rsidR="002E3DAA" w:rsidRPr="00614AA4">
        <w:rPr>
          <w:rFonts w:ascii="Garamond" w:hAnsi="Garamond"/>
          <w:sz w:val="26"/>
          <w:szCs w:val="26"/>
        </w:rPr>
        <w:t>.</w:t>
      </w:r>
      <w:r w:rsidR="00AA74CA" w:rsidRPr="00614AA4">
        <w:rPr>
          <w:rFonts w:ascii="Garamond" w:hAnsi="Garamond"/>
          <w:sz w:val="26"/>
          <w:szCs w:val="26"/>
        </w:rPr>
        <w:t xml:space="preserve"> </w:t>
      </w:r>
      <w:r w:rsidR="00462EE8" w:rsidRPr="00614AA4">
        <w:rPr>
          <w:rFonts w:ascii="Garamond" w:hAnsi="Garamond"/>
          <w:sz w:val="26"/>
          <w:szCs w:val="26"/>
        </w:rPr>
        <w:t xml:space="preserve">Furthermore, the </w:t>
      </w:r>
      <w:r w:rsidR="00A37A38" w:rsidRPr="00614AA4">
        <w:rPr>
          <w:rFonts w:ascii="Garamond" w:hAnsi="Garamond"/>
          <w:sz w:val="26"/>
          <w:szCs w:val="26"/>
        </w:rPr>
        <w:t xml:space="preserve">NIR </w:t>
      </w:r>
      <w:r w:rsidR="00462EE8" w:rsidRPr="00614AA4">
        <w:rPr>
          <w:rFonts w:ascii="Garamond" w:hAnsi="Garamond"/>
          <w:sz w:val="26"/>
          <w:szCs w:val="26"/>
        </w:rPr>
        <w:t xml:space="preserve">is intended to provide recommendations on </w:t>
      </w:r>
      <w:r w:rsidR="00A37A38" w:rsidRPr="00614AA4">
        <w:rPr>
          <w:rFonts w:ascii="Garamond" w:hAnsi="Garamond"/>
          <w:sz w:val="26"/>
          <w:szCs w:val="26"/>
        </w:rPr>
        <w:t xml:space="preserve">the nature/type of proposed actions or initiatives that </w:t>
      </w:r>
      <w:r w:rsidR="002E3DAA" w:rsidRPr="00614AA4">
        <w:rPr>
          <w:rFonts w:ascii="Garamond" w:hAnsi="Garamond"/>
          <w:sz w:val="26"/>
          <w:szCs w:val="26"/>
        </w:rPr>
        <w:t>will</w:t>
      </w:r>
      <w:r w:rsidR="00A37A38" w:rsidRPr="00614AA4">
        <w:rPr>
          <w:rFonts w:ascii="Garamond" w:hAnsi="Garamond"/>
          <w:sz w:val="26"/>
          <w:szCs w:val="26"/>
        </w:rPr>
        <w:t xml:space="preserve"> address deep-seated issues that hinder progress in Investment </w:t>
      </w:r>
      <w:r w:rsidR="002E3DAA" w:rsidRPr="00614AA4">
        <w:rPr>
          <w:rFonts w:ascii="Garamond" w:hAnsi="Garamond"/>
          <w:sz w:val="26"/>
          <w:szCs w:val="26"/>
        </w:rPr>
        <w:t xml:space="preserve">enhancement and attraction </w:t>
      </w:r>
      <w:r w:rsidR="00A37A38" w:rsidRPr="00614AA4">
        <w:rPr>
          <w:rFonts w:ascii="Garamond" w:hAnsi="Garamond"/>
          <w:sz w:val="26"/>
          <w:szCs w:val="26"/>
        </w:rPr>
        <w:t>in</w:t>
      </w:r>
      <w:r w:rsidR="002E3DAA" w:rsidRPr="00614AA4">
        <w:rPr>
          <w:rFonts w:ascii="Garamond" w:hAnsi="Garamond"/>
          <w:sz w:val="26"/>
          <w:szCs w:val="26"/>
        </w:rPr>
        <w:t>to</w:t>
      </w:r>
      <w:r w:rsidR="00A37A38" w:rsidRPr="00614AA4">
        <w:rPr>
          <w:rFonts w:ascii="Garamond" w:hAnsi="Garamond"/>
          <w:sz w:val="26"/>
          <w:szCs w:val="26"/>
        </w:rPr>
        <w:t xml:space="preserve"> Jordan</w:t>
      </w:r>
      <w:r w:rsidR="00462EE8" w:rsidRPr="00614AA4">
        <w:rPr>
          <w:rFonts w:ascii="Garamond" w:hAnsi="Garamond"/>
          <w:sz w:val="26"/>
          <w:szCs w:val="26"/>
        </w:rPr>
        <w:t xml:space="preserve">. The </w:t>
      </w:r>
      <w:r w:rsidR="00A37A38" w:rsidRPr="00614AA4">
        <w:rPr>
          <w:rFonts w:ascii="Garamond" w:hAnsi="Garamond"/>
          <w:sz w:val="26"/>
          <w:szCs w:val="26"/>
        </w:rPr>
        <w:t xml:space="preserve">NIR </w:t>
      </w:r>
      <w:r w:rsidR="00462EE8" w:rsidRPr="00614AA4">
        <w:rPr>
          <w:rFonts w:ascii="Garamond" w:hAnsi="Garamond"/>
          <w:sz w:val="26"/>
          <w:szCs w:val="26"/>
        </w:rPr>
        <w:t xml:space="preserve">will also characterize and identify </w:t>
      </w:r>
      <w:r w:rsidR="00A37A38" w:rsidRPr="00614AA4">
        <w:rPr>
          <w:rFonts w:ascii="Garamond" w:hAnsi="Garamond"/>
          <w:sz w:val="26"/>
          <w:szCs w:val="26"/>
        </w:rPr>
        <w:t>inevitable challenges of resource allocation and time management</w:t>
      </w:r>
      <w:r w:rsidR="002E3DAA" w:rsidRPr="00614AA4">
        <w:rPr>
          <w:rFonts w:ascii="Garamond" w:hAnsi="Garamond"/>
          <w:sz w:val="26"/>
          <w:szCs w:val="26"/>
        </w:rPr>
        <w:t xml:space="preserve">, </w:t>
      </w:r>
      <w:r w:rsidR="00A37A38" w:rsidRPr="00614AA4">
        <w:rPr>
          <w:rFonts w:ascii="Garamond" w:hAnsi="Garamond"/>
          <w:sz w:val="26"/>
          <w:szCs w:val="26"/>
        </w:rPr>
        <w:t xml:space="preserve">taking into consideration the unique economic circumstances and developmental </w:t>
      </w:r>
      <w:r w:rsidR="002E3DAA" w:rsidRPr="00614AA4">
        <w:rPr>
          <w:rFonts w:ascii="Garamond" w:hAnsi="Garamond"/>
          <w:sz w:val="26"/>
          <w:szCs w:val="26"/>
        </w:rPr>
        <w:t>situation, as well as the institutional structure and maturity</w:t>
      </w:r>
      <w:r w:rsidR="00A37A38" w:rsidRPr="00614AA4">
        <w:rPr>
          <w:rFonts w:ascii="Garamond" w:hAnsi="Garamond"/>
          <w:sz w:val="26"/>
          <w:szCs w:val="26"/>
        </w:rPr>
        <w:t xml:space="preserve"> </w:t>
      </w:r>
      <w:r w:rsidR="002E3DAA" w:rsidRPr="00614AA4">
        <w:rPr>
          <w:rFonts w:ascii="Garamond" w:hAnsi="Garamond"/>
          <w:sz w:val="26"/>
          <w:szCs w:val="26"/>
        </w:rPr>
        <w:t>in the</w:t>
      </w:r>
      <w:r w:rsidR="00A37A38" w:rsidRPr="00614AA4">
        <w:rPr>
          <w:rFonts w:ascii="Garamond" w:hAnsi="Garamond"/>
          <w:sz w:val="26"/>
          <w:szCs w:val="26"/>
        </w:rPr>
        <w:t xml:space="preserve"> Jordan</w:t>
      </w:r>
      <w:r w:rsidR="002E3DAA" w:rsidRPr="00614AA4">
        <w:rPr>
          <w:rFonts w:ascii="Garamond" w:hAnsi="Garamond"/>
          <w:sz w:val="26"/>
          <w:szCs w:val="26"/>
        </w:rPr>
        <w:t xml:space="preserve"> context.</w:t>
      </w:r>
      <w:r w:rsidR="00A37A38" w:rsidRPr="00614AA4">
        <w:rPr>
          <w:rFonts w:ascii="Garamond" w:hAnsi="Garamond"/>
          <w:sz w:val="26"/>
          <w:szCs w:val="26"/>
        </w:rPr>
        <w:t xml:space="preserve"> </w:t>
      </w:r>
    </w:p>
    <w:p w:rsidR="00462EE8" w:rsidRPr="00614AA4" w:rsidRDefault="00744DD2" w:rsidP="00A37A38">
      <w:pPr>
        <w:jc w:val="both"/>
        <w:rPr>
          <w:rFonts w:ascii="Garamond" w:hAnsi="Garamond"/>
          <w:sz w:val="26"/>
          <w:szCs w:val="26"/>
        </w:rPr>
      </w:pPr>
      <w:r w:rsidRPr="00614AA4">
        <w:rPr>
          <w:rFonts w:ascii="Garamond" w:hAnsi="Garamond"/>
          <w:sz w:val="26"/>
          <w:szCs w:val="26"/>
        </w:rPr>
        <w:t>MOIN will capitalize on the deliverables of this assignment to inform policymakers and decision makers on how to</w:t>
      </w:r>
      <w:r w:rsidR="00A37A38" w:rsidRPr="00614AA4">
        <w:rPr>
          <w:rFonts w:ascii="Garamond" w:hAnsi="Garamond"/>
          <w:sz w:val="26"/>
          <w:szCs w:val="26"/>
        </w:rPr>
        <w:t xml:space="preserve"> improve the functioning of the </w:t>
      </w:r>
      <w:r w:rsidR="00AB2B17" w:rsidRPr="00614AA4">
        <w:rPr>
          <w:rFonts w:ascii="Garamond" w:hAnsi="Garamond"/>
          <w:sz w:val="26"/>
          <w:szCs w:val="26"/>
        </w:rPr>
        <w:t>i</w:t>
      </w:r>
      <w:r w:rsidR="00A37A38" w:rsidRPr="00614AA4">
        <w:rPr>
          <w:rFonts w:ascii="Garamond" w:hAnsi="Garamond"/>
          <w:sz w:val="26"/>
          <w:szCs w:val="26"/>
        </w:rPr>
        <w:t>nvestment regime and the expected reflection on the economy</w:t>
      </w:r>
      <w:r w:rsidRPr="00614AA4">
        <w:rPr>
          <w:rFonts w:ascii="Garamond" w:hAnsi="Garamond"/>
          <w:sz w:val="26"/>
          <w:szCs w:val="26"/>
        </w:rPr>
        <w:t xml:space="preserve">, particularly on how the investment driver can lead to </w:t>
      </w:r>
      <w:r w:rsidR="00A37A38" w:rsidRPr="00614AA4">
        <w:rPr>
          <w:rFonts w:ascii="Garamond" w:hAnsi="Garamond"/>
          <w:sz w:val="26"/>
          <w:szCs w:val="26"/>
        </w:rPr>
        <w:t>higher long-term GDP</w:t>
      </w:r>
      <w:r w:rsidRPr="00614AA4">
        <w:rPr>
          <w:rFonts w:ascii="Garamond" w:hAnsi="Garamond"/>
          <w:sz w:val="26"/>
          <w:szCs w:val="26"/>
        </w:rPr>
        <w:t xml:space="preserve"> growth.</w:t>
      </w:r>
      <w:r w:rsidR="00462EE8" w:rsidRPr="00614AA4">
        <w:rPr>
          <w:rFonts w:ascii="Garamond" w:hAnsi="Garamond"/>
          <w:sz w:val="26"/>
          <w:szCs w:val="26"/>
        </w:rPr>
        <w:t xml:space="preserve"> </w:t>
      </w:r>
      <w:r w:rsidRPr="00614AA4">
        <w:rPr>
          <w:rFonts w:ascii="Garamond" w:hAnsi="Garamond"/>
          <w:sz w:val="26"/>
          <w:szCs w:val="26"/>
        </w:rPr>
        <w:t>Hence, the firm will be expected to provide</w:t>
      </w:r>
      <w:r w:rsidR="00462EE8" w:rsidRPr="00614AA4">
        <w:rPr>
          <w:rFonts w:ascii="Garamond" w:hAnsi="Garamond"/>
          <w:sz w:val="26"/>
          <w:szCs w:val="26"/>
        </w:rPr>
        <w:t xml:space="preserve"> recommendations</w:t>
      </w:r>
      <w:r w:rsidRPr="00614AA4">
        <w:rPr>
          <w:rFonts w:ascii="Garamond" w:hAnsi="Garamond"/>
          <w:sz w:val="26"/>
          <w:szCs w:val="26"/>
        </w:rPr>
        <w:t xml:space="preserve"> to MOIN on how best to move forward beyond the duration of the NIR (2027)</w:t>
      </w:r>
      <w:r w:rsidR="00CD7BFF" w:rsidRPr="00614AA4">
        <w:rPr>
          <w:rFonts w:ascii="Garamond" w:hAnsi="Garamond"/>
          <w:sz w:val="26"/>
          <w:szCs w:val="26"/>
        </w:rPr>
        <w:t>.</w:t>
      </w:r>
      <w:r w:rsidR="00462EE8" w:rsidRPr="00614AA4">
        <w:rPr>
          <w:rFonts w:ascii="Garamond" w:hAnsi="Garamond"/>
          <w:sz w:val="26"/>
          <w:szCs w:val="26"/>
        </w:rPr>
        <w:t xml:space="preserve"> </w:t>
      </w:r>
    </w:p>
    <w:p w:rsidR="00F0658C" w:rsidRPr="00614AA4" w:rsidRDefault="00787ECC" w:rsidP="00787ECC">
      <w:pPr>
        <w:jc w:val="both"/>
        <w:rPr>
          <w:rFonts w:ascii="Garamond" w:hAnsi="Garamond"/>
          <w:sz w:val="26"/>
          <w:szCs w:val="26"/>
        </w:rPr>
      </w:pPr>
      <w:r w:rsidRPr="00614AA4">
        <w:rPr>
          <w:rFonts w:ascii="Garamond" w:hAnsi="Garamond"/>
          <w:sz w:val="26"/>
          <w:szCs w:val="26"/>
        </w:rPr>
        <w:t xml:space="preserve">The NIR shall outline the </w:t>
      </w:r>
      <w:r w:rsidR="00744DD2" w:rsidRPr="00614AA4">
        <w:rPr>
          <w:rFonts w:ascii="Garamond" w:hAnsi="Garamond"/>
          <w:sz w:val="26"/>
          <w:szCs w:val="26"/>
        </w:rPr>
        <w:t>methodological approach which MOIN is expected to follow to organize</w:t>
      </w:r>
      <w:r w:rsidRPr="00614AA4">
        <w:rPr>
          <w:rFonts w:ascii="Garamond" w:hAnsi="Garamond"/>
          <w:sz w:val="26"/>
          <w:szCs w:val="26"/>
        </w:rPr>
        <w:t xml:space="preserve"> the </w:t>
      </w:r>
      <w:r w:rsidR="00744DD2" w:rsidRPr="00614AA4">
        <w:rPr>
          <w:rFonts w:ascii="Garamond" w:hAnsi="Garamond"/>
          <w:sz w:val="26"/>
          <w:szCs w:val="26"/>
        </w:rPr>
        <w:t>tasks</w:t>
      </w:r>
      <w:r w:rsidRPr="00614AA4">
        <w:rPr>
          <w:rFonts w:ascii="Garamond" w:hAnsi="Garamond"/>
          <w:sz w:val="26"/>
          <w:szCs w:val="26"/>
        </w:rPr>
        <w:t xml:space="preserve">, </w:t>
      </w:r>
      <w:r w:rsidR="00763F89" w:rsidRPr="00614AA4">
        <w:rPr>
          <w:rFonts w:ascii="Garamond" w:hAnsi="Garamond"/>
          <w:sz w:val="26"/>
          <w:szCs w:val="26"/>
        </w:rPr>
        <w:t xml:space="preserve">to implement </w:t>
      </w:r>
      <w:r w:rsidRPr="00614AA4">
        <w:rPr>
          <w:rFonts w:ascii="Garamond" w:hAnsi="Garamond"/>
          <w:sz w:val="26"/>
          <w:szCs w:val="26"/>
        </w:rPr>
        <w:t xml:space="preserve">the specific activities, and </w:t>
      </w:r>
      <w:r w:rsidR="00763F89" w:rsidRPr="00614AA4">
        <w:rPr>
          <w:rFonts w:ascii="Garamond" w:hAnsi="Garamond"/>
          <w:sz w:val="26"/>
          <w:szCs w:val="26"/>
        </w:rPr>
        <w:t xml:space="preserve">to provide </w:t>
      </w:r>
      <w:r w:rsidRPr="00614AA4">
        <w:rPr>
          <w:rFonts w:ascii="Garamond" w:hAnsi="Garamond"/>
          <w:sz w:val="26"/>
          <w:szCs w:val="26"/>
        </w:rPr>
        <w:t>the necessary resources to produce needed documents along the way.</w:t>
      </w:r>
      <w:r w:rsidR="00042A13" w:rsidRPr="00614AA4">
        <w:rPr>
          <w:rFonts w:ascii="Garamond" w:hAnsi="Garamond"/>
          <w:sz w:val="26"/>
          <w:szCs w:val="26"/>
        </w:rPr>
        <w:t xml:space="preserve"> </w:t>
      </w:r>
      <w:r w:rsidR="00744DD2" w:rsidRPr="00614AA4">
        <w:rPr>
          <w:rFonts w:ascii="Garamond" w:hAnsi="Garamond"/>
          <w:sz w:val="26"/>
          <w:szCs w:val="26"/>
        </w:rPr>
        <w:t>B</w:t>
      </w:r>
      <w:r w:rsidR="00042A13" w:rsidRPr="00614AA4">
        <w:rPr>
          <w:rFonts w:ascii="Garamond" w:hAnsi="Garamond"/>
          <w:sz w:val="26"/>
          <w:szCs w:val="26"/>
        </w:rPr>
        <w:t xml:space="preserve">y </w:t>
      </w:r>
      <w:r w:rsidR="00744DD2" w:rsidRPr="00614AA4">
        <w:rPr>
          <w:rFonts w:ascii="Garamond" w:hAnsi="Garamond"/>
          <w:sz w:val="26"/>
          <w:szCs w:val="26"/>
        </w:rPr>
        <w:t xml:space="preserve">employing a phasal approach, </w:t>
      </w:r>
      <w:r w:rsidR="00042A13" w:rsidRPr="00614AA4">
        <w:rPr>
          <w:rFonts w:ascii="Garamond" w:hAnsi="Garamond"/>
          <w:sz w:val="26"/>
          <w:szCs w:val="26"/>
        </w:rPr>
        <w:t xml:space="preserve">this Roadmap </w:t>
      </w:r>
      <w:r w:rsidR="00744DD2" w:rsidRPr="00614AA4">
        <w:rPr>
          <w:rFonts w:ascii="Garamond" w:hAnsi="Garamond"/>
          <w:sz w:val="26"/>
          <w:szCs w:val="26"/>
        </w:rPr>
        <w:t>will</w:t>
      </w:r>
      <w:r w:rsidR="00042A13" w:rsidRPr="00614AA4">
        <w:rPr>
          <w:rFonts w:ascii="Garamond" w:hAnsi="Garamond"/>
          <w:sz w:val="26"/>
          <w:szCs w:val="26"/>
        </w:rPr>
        <w:t xml:space="preserve"> provide </w:t>
      </w:r>
      <w:r w:rsidR="00744DD2" w:rsidRPr="00614AA4">
        <w:rPr>
          <w:rFonts w:ascii="Garamond" w:hAnsi="Garamond"/>
          <w:sz w:val="26"/>
          <w:szCs w:val="26"/>
        </w:rPr>
        <w:t xml:space="preserve">MOIN with </w:t>
      </w:r>
      <w:r w:rsidR="00763F89" w:rsidRPr="00614AA4">
        <w:rPr>
          <w:rFonts w:ascii="Garamond" w:hAnsi="Garamond"/>
          <w:sz w:val="26"/>
          <w:szCs w:val="26"/>
        </w:rPr>
        <w:t>a guidance</w:t>
      </w:r>
      <w:r w:rsidR="00042A13" w:rsidRPr="00614AA4">
        <w:rPr>
          <w:rFonts w:ascii="Garamond" w:hAnsi="Garamond"/>
          <w:sz w:val="26"/>
          <w:szCs w:val="26"/>
        </w:rPr>
        <w:t xml:space="preserve"> for how </w:t>
      </w:r>
      <w:r w:rsidR="00763F89" w:rsidRPr="00614AA4">
        <w:rPr>
          <w:rFonts w:ascii="Garamond" w:hAnsi="Garamond"/>
          <w:sz w:val="26"/>
          <w:szCs w:val="26"/>
        </w:rPr>
        <w:t>to</w:t>
      </w:r>
      <w:r w:rsidR="00042A13" w:rsidRPr="00614AA4">
        <w:rPr>
          <w:rFonts w:ascii="Garamond" w:hAnsi="Garamond"/>
          <w:sz w:val="26"/>
          <w:szCs w:val="26"/>
        </w:rPr>
        <w:t xml:space="preserve"> administer and act toward achieving goals at each milestone</w:t>
      </w:r>
      <w:r w:rsidR="00F0658C" w:rsidRPr="00614AA4">
        <w:rPr>
          <w:rFonts w:ascii="Garamond" w:hAnsi="Garamond"/>
          <w:sz w:val="26"/>
          <w:szCs w:val="26"/>
        </w:rPr>
        <w:t xml:space="preserve"> in order for Roadmap to be </w:t>
      </w:r>
      <w:r w:rsidR="00763F89" w:rsidRPr="00614AA4">
        <w:rPr>
          <w:rFonts w:ascii="Garamond" w:hAnsi="Garamond"/>
          <w:sz w:val="26"/>
          <w:szCs w:val="26"/>
        </w:rPr>
        <w:t xml:space="preserve">a </w:t>
      </w:r>
      <w:r w:rsidR="00F0658C" w:rsidRPr="00614AA4">
        <w:rPr>
          <w:rFonts w:ascii="Garamond" w:hAnsi="Garamond"/>
          <w:sz w:val="26"/>
          <w:szCs w:val="26"/>
        </w:rPr>
        <w:t xml:space="preserve">powerful and </w:t>
      </w:r>
      <w:r w:rsidR="00763F89" w:rsidRPr="00614AA4">
        <w:rPr>
          <w:rFonts w:ascii="Garamond" w:hAnsi="Garamond"/>
          <w:sz w:val="26"/>
          <w:szCs w:val="26"/>
        </w:rPr>
        <w:t xml:space="preserve">a </w:t>
      </w:r>
      <w:r w:rsidR="00F0658C" w:rsidRPr="00614AA4">
        <w:rPr>
          <w:rFonts w:ascii="Garamond" w:hAnsi="Garamond"/>
          <w:sz w:val="26"/>
          <w:szCs w:val="26"/>
        </w:rPr>
        <w:t xml:space="preserve">practical tool in achieving desired outcomes related </w:t>
      </w:r>
      <w:r w:rsidR="00933E34" w:rsidRPr="00614AA4">
        <w:rPr>
          <w:rFonts w:ascii="Garamond" w:hAnsi="Garamond"/>
          <w:sz w:val="26"/>
          <w:szCs w:val="26"/>
        </w:rPr>
        <w:t>mainly</w:t>
      </w:r>
      <w:r w:rsidR="00F0658C" w:rsidRPr="00614AA4">
        <w:rPr>
          <w:rFonts w:ascii="Garamond" w:hAnsi="Garamond"/>
          <w:sz w:val="26"/>
          <w:szCs w:val="26"/>
        </w:rPr>
        <w:t xml:space="preserve"> to:</w:t>
      </w:r>
    </w:p>
    <w:p w:rsidR="00F0658C" w:rsidRPr="00614AA4" w:rsidRDefault="00F0658C" w:rsidP="00F0658C">
      <w:pPr>
        <w:pStyle w:val="ListParagraph"/>
        <w:numPr>
          <w:ilvl w:val="0"/>
          <w:numId w:val="25"/>
        </w:numPr>
        <w:jc w:val="both"/>
        <w:rPr>
          <w:rFonts w:ascii="Garamond" w:hAnsi="Garamond"/>
          <w:sz w:val="26"/>
          <w:szCs w:val="26"/>
        </w:rPr>
      </w:pPr>
      <w:r w:rsidRPr="00614AA4">
        <w:rPr>
          <w:rFonts w:ascii="Garamond" w:hAnsi="Garamond"/>
          <w:sz w:val="26"/>
          <w:szCs w:val="26"/>
        </w:rPr>
        <w:t xml:space="preserve">Improving market access for foreign firms, </w:t>
      </w:r>
    </w:p>
    <w:p w:rsidR="00F0658C" w:rsidRPr="00614AA4" w:rsidRDefault="00F0658C" w:rsidP="00F0658C">
      <w:pPr>
        <w:pStyle w:val="ListParagraph"/>
        <w:numPr>
          <w:ilvl w:val="0"/>
          <w:numId w:val="25"/>
        </w:numPr>
        <w:jc w:val="both"/>
        <w:rPr>
          <w:rFonts w:ascii="Garamond" w:hAnsi="Garamond"/>
          <w:sz w:val="26"/>
          <w:szCs w:val="26"/>
        </w:rPr>
      </w:pPr>
      <w:r w:rsidRPr="00614AA4">
        <w:rPr>
          <w:rFonts w:ascii="Garamond" w:hAnsi="Garamond"/>
          <w:sz w:val="26"/>
          <w:szCs w:val="26"/>
        </w:rPr>
        <w:t>Increasing investor confidence and retention,</w:t>
      </w:r>
    </w:p>
    <w:p w:rsidR="00F0658C" w:rsidRPr="00614AA4" w:rsidRDefault="00F0658C" w:rsidP="00F0658C">
      <w:pPr>
        <w:pStyle w:val="ListParagraph"/>
        <w:numPr>
          <w:ilvl w:val="0"/>
          <w:numId w:val="25"/>
        </w:numPr>
        <w:jc w:val="both"/>
        <w:rPr>
          <w:rFonts w:ascii="Garamond" w:hAnsi="Garamond"/>
          <w:sz w:val="26"/>
          <w:szCs w:val="26"/>
        </w:rPr>
      </w:pPr>
      <w:r w:rsidRPr="00614AA4">
        <w:rPr>
          <w:rFonts w:ascii="Garamond" w:hAnsi="Garamond"/>
          <w:sz w:val="26"/>
          <w:szCs w:val="26"/>
        </w:rPr>
        <w:t xml:space="preserve"> </w:t>
      </w:r>
      <w:r w:rsidR="00763F89" w:rsidRPr="00614AA4">
        <w:rPr>
          <w:rFonts w:ascii="Garamond" w:hAnsi="Garamond"/>
          <w:sz w:val="26"/>
          <w:szCs w:val="26"/>
        </w:rPr>
        <w:t>I</w:t>
      </w:r>
      <w:r w:rsidRPr="00614AA4">
        <w:rPr>
          <w:rFonts w:ascii="Garamond" w:hAnsi="Garamond"/>
          <w:sz w:val="26"/>
          <w:szCs w:val="26"/>
        </w:rPr>
        <w:t>ncreas</w:t>
      </w:r>
      <w:r w:rsidR="00763F89" w:rsidRPr="00614AA4">
        <w:rPr>
          <w:rFonts w:ascii="Garamond" w:hAnsi="Garamond"/>
          <w:sz w:val="26"/>
          <w:szCs w:val="26"/>
        </w:rPr>
        <w:t>ing</w:t>
      </w:r>
      <w:r w:rsidRPr="00614AA4">
        <w:rPr>
          <w:rFonts w:ascii="Garamond" w:hAnsi="Garamond"/>
          <w:sz w:val="26"/>
          <w:szCs w:val="26"/>
        </w:rPr>
        <w:t xml:space="preserve"> effectiveness of investment incentives,</w:t>
      </w:r>
    </w:p>
    <w:p w:rsidR="00F0658C" w:rsidRPr="00614AA4" w:rsidRDefault="00F0658C" w:rsidP="00F0658C">
      <w:pPr>
        <w:pStyle w:val="ListParagraph"/>
        <w:numPr>
          <w:ilvl w:val="0"/>
          <w:numId w:val="25"/>
        </w:numPr>
        <w:jc w:val="both"/>
        <w:rPr>
          <w:rFonts w:ascii="Garamond" w:hAnsi="Garamond"/>
          <w:sz w:val="26"/>
          <w:szCs w:val="26"/>
        </w:rPr>
      </w:pPr>
      <w:r w:rsidRPr="00614AA4">
        <w:rPr>
          <w:rFonts w:ascii="Garamond" w:hAnsi="Garamond"/>
          <w:sz w:val="26"/>
          <w:szCs w:val="26"/>
        </w:rPr>
        <w:t>Enhance investment promotion and facilitation services,</w:t>
      </w:r>
    </w:p>
    <w:p w:rsidR="00F0658C" w:rsidRPr="00614AA4" w:rsidRDefault="00F0658C" w:rsidP="00880E78">
      <w:pPr>
        <w:pStyle w:val="ListParagraph"/>
        <w:numPr>
          <w:ilvl w:val="0"/>
          <w:numId w:val="25"/>
        </w:numPr>
        <w:jc w:val="both"/>
        <w:rPr>
          <w:rFonts w:ascii="Garamond" w:hAnsi="Garamond"/>
          <w:sz w:val="26"/>
          <w:szCs w:val="26"/>
        </w:rPr>
      </w:pPr>
      <w:r w:rsidRPr="00614AA4">
        <w:rPr>
          <w:rFonts w:ascii="Garamond" w:hAnsi="Garamond"/>
          <w:sz w:val="26"/>
          <w:szCs w:val="26"/>
        </w:rPr>
        <w:t>Improved competitiveness and increase investor interest in target sectors.</w:t>
      </w:r>
    </w:p>
    <w:p w:rsidR="00787ECC" w:rsidRPr="00614AA4" w:rsidRDefault="00787ECC" w:rsidP="00A37A38">
      <w:pPr>
        <w:jc w:val="both"/>
        <w:rPr>
          <w:rFonts w:ascii="Garamond" w:hAnsi="Garamond"/>
          <w:sz w:val="26"/>
          <w:szCs w:val="26"/>
        </w:rPr>
      </w:pPr>
    </w:p>
    <w:p w:rsidR="00F32DBE" w:rsidRPr="00614AA4" w:rsidRDefault="00F32DBE" w:rsidP="00C61224">
      <w:pPr>
        <w:autoSpaceDE w:val="0"/>
        <w:autoSpaceDN w:val="0"/>
        <w:adjustRightInd w:val="0"/>
        <w:spacing w:after="0" w:line="240" w:lineRule="auto"/>
        <w:jc w:val="both"/>
        <w:rPr>
          <w:rFonts w:eastAsia="ArialMT" w:cs="ArialMT"/>
          <w:sz w:val="26"/>
          <w:szCs w:val="26"/>
        </w:rPr>
      </w:pPr>
    </w:p>
    <w:p w:rsidR="00F32DBE" w:rsidRPr="00614AA4" w:rsidRDefault="00F32DBE" w:rsidP="00D21F91">
      <w:pPr>
        <w:numPr>
          <w:ilvl w:val="0"/>
          <w:numId w:val="4"/>
        </w:numPr>
        <w:spacing w:after="100" w:afterAutospacing="1"/>
        <w:ind w:left="0" w:firstLine="0"/>
        <w:jc w:val="both"/>
        <w:rPr>
          <w:rFonts w:ascii="Garamond" w:hAnsi="Garamond"/>
          <w:b/>
          <w:bCs/>
          <w:sz w:val="28"/>
          <w:szCs w:val="28"/>
        </w:rPr>
      </w:pPr>
      <w:r w:rsidRPr="00614AA4">
        <w:rPr>
          <w:rFonts w:ascii="Garamond" w:hAnsi="Garamond"/>
          <w:b/>
          <w:bCs/>
          <w:sz w:val="28"/>
          <w:szCs w:val="28"/>
        </w:rPr>
        <w:t>Scope of Work</w:t>
      </w:r>
    </w:p>
    <w:p w:rsidR="00292C41" w:rsidRPr="00614AA4" w:rsidRDefault="00A37A38" w:rsidP="0080390D">
      <w:pPr>
        <w:jc w:val="both"/>
        <w:rPr>
          <w:rFonts w:ascii="Garamond" w:hAnsi="Garamond"/>
          <w:sz w:val="26"/>
          <w:szCs w:val="26"/>
        </w:rPr>
      </w:pPr>
      <w:r w:rsidRPr="00614AA4">
        <w:rPr>
          <w:rFonts w:ascii="Garamond" w:hAnsi="Garamond"/>
          <w:sz w:val="26"/>
          <w:szCs w:val="26"/>
        </w:rPr>
        <w:t xml:space="preserve">The consultancy assignment </w:t>
      </w:r>
      <w:r w:rsidR="00C96262" w:rsidRPr="00614AA4">
        <w:rPr>
          <w:rFonts w:ascii="Garamond" w:hAnsi="Garamond"/>
          <w:sz w:val="26"/>
          <w:szCs w:val="26"/>
        </w:rPr>
        <w:t xml:space="preserve">is meant </w:t>
      </w:r>
      <w:r w:rsidR="0099220E" w:rsidRPr="00614AA4">
        <w:rPr>
          <w:rFonts w:ascii="Garamond" w:hAnsi="Garamond"/>
          <w:sz w:val="26"/>
          <w:szCs w:val="26"/>
        </w:rPr>
        <w:t>to involve</w:t>
      </w:r>
      <w:r w:rsidRPr="00614AA4">
        <w:rPr>
          <w:rFonts w:ascii="Garamond" w:hAnsi="Garamond"/>
          <w:sz w:val="26"/>
          <w:szCs w:val="26"/>
        </w:rPr>
        <w:t xml:space="preserve"> several techniques and methods </w:t>
      </w:r>
      <w:r w:rsidR="00292C41" w:rsidRPr="00614AA4">
        <w:rPr>
          <w:rFonts w:ascii="Garamond" w:hAnsi="Garamond"/>
          <w:sz w:val="26"/>
          <w:szCs w:val="26"/>
        </w:rPr>
        <w:t xml:space="preserve">including reviewing all previous related and available documents </w:t>
      </w:r>
      <w:r w:rsidR="00F30D92" w:rsidRPr="00614AA4">
        <w:rPr>
          <w:rFonts w:ascii="Garamond" w:hAnsi="Garamond"/>
          <w:sz w:val="26"/>
          <w:szCs w:val="26"/>
        </w:rPr>
        <w:t>(</w:t>
      </w:r>
      <w:r w:rsidR="001B5D7B" w:rsidRPr="00614AA4">
        <w:rPr>
          <w:rFonts w:ascii="Garamond" w:hAnsi="Garamond"/>
          <w:sz w:val="26"/>
          <w:szCs w:val="26"/>
        </w:rPr>
        <w:t xml:space="preserve">all </w:t>
      </w:r>
      <w:r w:rsidR="00F30D92" w:rsidRPr="00614AA4">
        <w:rPr>
          <w:rFonts w:ascii="Garamond" w:hAnsi="Garamond"/>
          <w:sz w:val="26"/>
          <w:szCs w:val="26"/>
        </w:rPr>
        <w:t>national strategies</w:t>
      </w:r>
      <w:r w:rsidR="00763F89" w:rsidRPr="00614AA4">
        <w:rPr>
          <w:rFonts w:ascii="Garamond" w:hAnsi="Garamond"/>
          <w:sz w:val="26"/>
          <w:szCs w:val="26"/>
        </w:rPr>
        <w:t xml:space="preserve"> and action plans</w:t>
      </w:r>
      <w:r w:rsidR="00F30D92" w:rsidRPr="00614AA4">
        <w:rPr>
          <w:rFonts w:ascii="Garamond" w:hAnsi="Garamond"/>
          <w:sz w:val="26"/>
          <w:szCs w:val="26"/>
        </w:rPr>
        <w:t xml:space="preserve"> </w:t>
      </w:r>
      <w:r w:rsidR="00647734" w:rsidRPr="00614AA4">
        <w:rPr>
          <w:rFonts w:ascii="Garamond" w:hAnsi="Garamond"/>
          <w:sz w:val="26"/>
          <w:szCs w:val="26"/>
        </w:rPr>
        <w:t xml:space="preserve">that are </w:t>
      </w:r>
      <w:r w:rsidR="00EB1831" w:rsidRPr="00614AA4">
        <w:rPr>
          <w:rFonts w:ascii="Garamond" w:hAnsi="Garamond"/>
          <w:sz w:val="26"/>
          <w:szCs w:val="26"/>
        </w:rPr>
        <w:t>in force</w:t>
      </w:r>
      <w:r w:rsidR="00647734" w:rsidRPr="00614AA4">
        <w:rPr>
          <w:rFonts w:ascii="Garamond" w:hAnsi="Garamond"/>
          <w:sz w:val="26"/>
          <w:szCs w:val="26"/>
        </w:rPr>
        <w:t xml:space="preserve">, </w:t>
      </w:r>
      <w:r w:rsidR="00EB1831" w:rsidRPr="00614AA4">
        <w:rPr>
          <w:rFonts w:ascii="Garamond" w:hAnsi="Garamond"/>
          <w:sz w:val="26"/>
          <w:szCs w:val="26"/>
        </w:rPr>
        <w:t xml:space="preserve">and provide a breakdown of </w:t>
      </w:r>
      <w:r w:rsidR="003F33A1" w:rsidRPr="00614AA4">
        <w:rPr>
          <w:rFonts w:ascii="Garamond" w:hAnsi="Garamond"/>
          <w:sz w:val="26"/>
          <w:szCs w:val="26"/>
        </w:rPr>
        <w:t xml:space="preserve">major </w:t>
      </w:r>
      <w:r w:rsidR="00EB1831" w:rsidRPr="00614AA4">
        <w:rPr>
          <w:rFonts w:ascii="Garamond" w:hAnsi="Garamond"/>
          <w:sz w:val="26"/>
          <w:szCs w:val="26"/>
        </w:rPr>
        <w:t>activities</w:t>
      </w:r>
      <w:r w:rsidR="003F33A1" w:rsidRPr="00614AA4">
        <w:rPr>
          <w:rFonts w:ascii="Garamond" w:hAnsi="Garamond"/>
          <w:sz w:val="26"/>
          <w:szCs w:val="26"/>
        </w:rPr>
        <w:t xml:space="preserve"> </w:t>
      </w:r>
      <w:r w:rsidR="0046225C" w:rsidRPr="00614AA4">
        <w:rPr>
          <w:rFonts w:ascii="Garamond" w:hAnsi="Garamond"/>
          <w:sz w:val="26"/>
          <w:szCs w:val="26"/>
        </w:rPr>
        <w:t xml:space="preserve">owned by </w:t>
      </w:r>
      <w:r w:rsidR="003F33A1" w:rsidRPr="00614AA4">
        <w:rPr>
          <w:rFonts w:ascii="Garamond" w:hAnsi="Garamond"/>
          <w:sz w:val="26"/>
          <w:szCs w:val="26"/>
        </w:rPr>
        <w:t xml:space="preserve">different </w:t>
      </w:r>
      <w:r w:rsidR="0099220E" w:rsidRPr="00614AA4">
        <w:rPr>
          <w:rFonts w:ascii="Garamond" w:hAnsi="Garamond"/>
          <w:sz w:val="26"/>
          <w:szCs w:val="26"/>
        </w:rPr>
        <w:t>stakeholders</w:t>
      </w:r>
      <w:r w:rsidR="00EB1831" w:rsidRPr="00614AA4">
        <w:rPr>
          <w:rFonts w:ascii="Garamond" w:hAnsi="Garamond"/>
          <w:sz w:val="26"/>
          <w:szCs w:val="26"/>
        </w:rPr>
        <w:t xml:space="preserve"> and their actions</w:t>
      </w:r>
      <w:r w:rsidR="0099220E" w:rsidRPr="00614AA4">
        <w:rPr>
          <w:rFonts w:ascii="Garamond" w:hAnsi="Garamond"/>
          <w:sz w:val="26"/>
          <w:szCs w:val="26"/>
        </w:rPr>
        <w:t>. A</w:t>
      </w:r>
      <w:r w:rsidR="00607DDB" w:rsidRPr="00614AA4">
        <w:rPr>
          <w:rFonts w:ascii="Garamond" w:hAnsi="Garamond"/>
          <w:sz w:val="26"/>
          <w:szCs w:val="26"/>
        </w:rPr>
        <w:t>t the heart of this consultancy</w:t>
      </w:r>
      <w:r w:rsidR="00763F89" w:rsidRPr="00614AA4">
        <w:rPr>
          <w:rFonts w:ascii="Garamond" w:hAnsi="Garamond"/>
          <w:sz w:val="26"/>
          <w:szCs w:val="26"/>
        </w:rPr>
        <w:t>, the firm</w:t>
      </w:r>
      <w:r w:rsidR="00607DDB" w:rsidRPr="00614AA4">
        <w:rPr>
          <w:rFonts w:ascii="Garamond" w:hAnsi="Garamond"/>
          <w:sz w:val="26"/>
          <w:szCs w:val="26"/>
        </w:rPr>
        <w:t xml:space="preserve"> </w:t>
      </w:r>
      <w:r w:rsidR="006902F1" w:rsidRPr="00614AA4">
        <w:rPr>
          <w:rFonts w:ascii="Garamond" w:hAnsi="Garamond"/>
          <w:sz w:val="26"/>
          <w:szCs w:val="26"/>
        </w:rPr>
        <w:t xml:space="preserve">is </w:t>
      </w:r>
      <w:r w:rsidR="00763F89" w:rsidRPr="00614AA4">
        <w:rPr>
          <w:rFonts w:ascii="Garamond" w:hAnsi="Garamond"/>
          <w:sz w:val="26"/>
          <w:szCs w:val="26"/>
        </w:rPr>
        <w:t xml:space="preserve">expected </w:t>
      </w:r>
      <w:r w:rsidR="006902F1" w:rsidRPr="00614AA4">
        <w:rPr>
          <w:rFonts w:ascii="Garamond" w:hAnsi="Garamond"/>
          <w:sz w:val="26"/>
          <w:szCs w:val="26"/>
        </w:rPr>
        <w:t xml:space="preserve">to </w:t>
      </w:r>
      <w:r w:rsidR="000378FA" w:rsidRPr="00614AA4">
        <w:rPr>
          <w:rFonts w:ascii="Garamond" w:hAnsi="Garamond"/>
          <w:sz w:val="26"/>
          <w:szCs w:val="26"/>
        </w:rPr>
        <w:t xml:space="preserve">conduct </w:t>
      </w:r>
      <w:r w:rsidR="00292C41" w:rsidRPr="00614AA4">
        <w:rPr>
          <w:rFonts w:ascii="Garamond" w:hAnsi="Garamond"/>
          <w:sz w:val="26"/>
          <w:szCs w:val="26"/>
        </w:rPr>
        <w:t xml:space="preserve">all needed qualitative and </w:t>
      </w:r>
      <w:r w:rsidR="000E215D" w:rsidRPr="00614AA4">
        <w:rPr>
          <w:rFonts w:ascii="Garamond" w:hAnsi="Garamond"/>
          <w:sz w:val="26"/>
          <w:szCs w:val="26"/>
        </w:rPr>
        <w:t xml:space="preserve">quantitative </w:t>
      </w:r>
      <w:r w:rsidR="00292C41" w:rsidRPr="00614AA4">
        <w:rPr>
          <w:rFonts w:ascii="Garamond" w:hAnsi="Garamond"/>
          <w:sz w:val="26"/>
          <w:szCs w:val="26"/>
        </w:rPr>
        <w:t>analys</w:t>
      </w:r>
      <w:r w:rsidR="00763F89" w:rsidRPr="00614AA4">
        <w:rPr>
          <w:rFonts w:ascii="Garamond" w:hAnsi="Garamond"/>
          <w:sz w:val="26"/>
          <w:szCs w:val="26"/>
        </w:rPr>
        <w:t>e</w:t>
      </w:r>
      <w:r w:rsidR="00292C41" w:rsidRPr="00614AA4">
        <w:rPr>
          <w:rFonts w:ascii="Garamond" w:hAnsi="Garamond"/>
          <w:sz w:val="26"/>
          <w:szCs w:val="26"/>
        </w:rPr>
        <w:t xml:space="preserve">s including interviews with main stakeholders </w:t>
      </w:r>
      <w:r w:rsidR="00C101F0" w:rsidRPr="00614AA4">
        <w:rPr>
          <w:rFonts w:ascii="Garamond" w:hAnsi="Garamond"/>
          <w:sz w:val="26"/>
          <w:szCs w:val="26"/>
        </w:rPr>
        <w:t xml:space="preserve">(including public, private, associations and councils, as well as their regulating </w:t>
      </w:r>
      <w:r w:rsidR="00300723" w:rsidRPr="00614AA4">
        <w:rPr>
          <w:rFonts w:ascii="Garamond" w:hAnsi="Garamond"/>
          <w:sz w:val="26"/>
          <w:szCs w:val="26"/>
        </w:rPr>
        <w:t>bodies) to</w:t>
      </w:r>
      <w:r w:rsidR="00292C41" w:rsidRPr="00614AA4">
        <w:rPr>
          <w:rFonts w:ascii="Garamond" w:hAnsi="Garamond"/>
          <w:sz w:val="26"/>
          <w:szCs w:val="26"/>
        </w:rPr>
        <w:t xml:space="preserve"> come up with a full and comprehensive understanding of how to steer the national efforts toward achieving the desired outcomes </w:t>
      </w:r>
      <w:r w:rsidR="00763F89" w:rsidRPr="00614AA4">
        <w:rPr>
          <w:rFonts w:ascii="Garamond" w:hAnsi="Garamond"/>
          <w:sz w:val="26"/>
          <w:szCs w:val="26"/>
        </w:rPr>
        <w:t xml:space="preserve">under </w:t>
      </w:r>
      <w:r w:rsidR="00292C41" w:rsidRPr="00614AA4">
        <w:rPr>
          <w:rFonts w:ascii="Garamond" w:hAnsi="Garamond"/>
          <w:sz w:val="26"/>
          <w:szCs w:val="26"/>
        </w:rPr>
        <w:t>Investment as a driver for Economic growth and job creation).</w:t>
      </w:r>
      <w:r w:rsidRPr="00614AA4">
        <w:rPr>
          <w:rFonts w:ascii="Garamond" w:hAnsi="Garamond"/>
          <w:sz w:val="26"/>
          <w:szCs w:val="26"/>
        </w:rPr>
        <w:t xml:space="preserve"> </w:t>
      </w:r>
    </w:p>
    <w:p w:rsidR="00730028" w:rsidRPr="00614AA4" w:rsidRDefault="00730028" w:rsidP="0080390D">
      <w:pPr>
        <w:jc w:val="both"/>
        <w:rPr>
          <w:rFonts w:ascii="Garamond" w:hAnsi="Garamond"/>
          <w:sz w:val="26"/>
          <w:szCs w:val="26"/>
        </w:rPr>
      </w:pPr>
      <w:r w:rsidRPr="00614AA4">
        <w:rPr>
          <w:rFonts w:ascii="Garamond" w:hAnsi="Garamond"/>
          <w:sz w:val="26"/>
          <w:szCs w:val="26"/>
        </w:rPr>
        <w:t>The firm is requested to perform needed exercises and activities toward delivering the following:</w:t>
      </w:r>
    </w:p>
    <w:p w:rsidR="00730028" w:rsidRPr="00614AA4" w:rsidRDefault="00730028" w:rsidP="00730028">
      <w:pPr>
        <w:pStyle w:val="ListParagraph"/>
        <w:numPr>
          <w:ilvl w:val="0"/>
          <w:numId w:val="26"/>
        </w:numPr>
        <w:jc w:val="both"/>
        <w:rPr>
          <w:rFonts w:ascii="Garamond" w:hAnsi="Garamond"/>
          <w:sz w:val="26"/>
          <w:szCs w:val="26"/>
        </w:rPr>
      </w:pPr>
      <w:r w:rsidRPr="00614AA4">
        <w:rPr>
          <w:rFonts w:ascii="Garamond" w:hAnsi="Garamond"/>
          <w:sz w:val="26"/>
          <w:szCs w:val="26"/>
        </w:rPr>
        <w:t>Ra</w:t>
      </w:r>
      <w:r w:rsidR="00763F89" w:rsidRPr="00614AA4">
        <w:rPr>
          <w:rFonts w:ascii="Garamond" w:hAnsi="Garamond"/>
          <w:sz w:val="26"/>
          <w:szCs w:val="26"/>
        </w:rPr>
        <w:t>p</w:t>
      </w:r>
      <w:r w:rsidRPr="00614AA4">
        <w:rPr>
          <w:rFonts w:ascii="Garamond" w:hAnsi="Garamond"/>
          <w:sz w:val="26"/>
          <w:szCs w:val="26"/>
        </w:rPr>
        <w:t xml:space="preserve">id Assessment </w:t>
      </w:r>
      <w:r w:rsidR="00763F89" w:rsidRPr="00614AA4">
        <w:rPr>
          <w:rFonts w:ascii="Garamond" w:hAnsi="Garamond"/>
          <w:sz w:val="26"/>
          <w:szCs w:val="26"/>
        </w:rPr>
        <w:t xml:space="preserve">and desk research </w:t>
      </w:r>
      <w:r w:rsidRPr="00614AA4">
        <w:rPr>
          <w:rFonts w:ascii="Garamond" w:hAnsi="Garamond"/>
          <w:sz w:val="26"/>
          <w:szCs w:val="26"/>
        </w:rPr>
        <w:t>(including commentary)</w:t>
      </w:r>
    </w:p>
    <w:p w:rsidR="00730028" w:rsidRPr="00614AA4" w:rsidRDefault="00730028" w:rsidP="00730028">
      <w:pPr>
        <w:pStyle w:val="ListParagraph"/>
        <w:numPr>
          <w:ilvl w:val="0"/>
          <w:numId w:val="26"/>
        </w:numPr>
        <w:jc w:val="both"/>
        <w:rPr>
          <w:rFonts w:ascii="Garamond" w:hAnsi="Garamond"/>
          <w:sz w:val="26"/>
          <w:szCs w:val="26"/>
        </w:rPr>
      </w:pPr>
      <w:r w:rsidRPr="00614AA4">
        <w:rPr>
          <w:rFonts w:ascii="Garamond" w:hAnsi="Garamond"/>
          <w:sz w:val="26"/>
          <w:szCs w:val="26"/>
        </w:rPr>
        <w:t xml:space="preserve">Concept note </w:t>
      </w:r>
      <w:r w:rsidR="002455DD" w:rsidRPr="00614AA4">
        <w:rPr>
          <w:rFonts w:ascii="Garamond" w:hAnsi="Garamond"/>
          <w:sz w:val="26"/>
          <w:szCs w:val="26"/>
        </w:rPr>
        <w:t>(including</w:t>
      </w:r>
      <w:r w:rsidRPr="00614AA4">
        <w:rPr>
          <w:rFonts w:ascii="Garamond" w:hAnsi="Garamond"/>
          <w:sz w:val="26"/>
          <w:szCs w:val="26"/>
        </w:rPr>
        <w:t xml:space="preserve"> Foundational Principles and a list of Strategic Initiatives and Recommendations)</w:t>
      </w:r>
    </w:p>
    <w:p w:rsidR="00614AA4" w:rsidRPr="00614AA4" w:rsidRDefault="00730028" w:rsidP="00880E78">
      <w:pPr>
        <w:pStyle w:val="ListParagraph"/>
        <w:numPr>
          <w:ilvl w:val="0"/>
          <w:numId w:val="26"/>
        </w:numPr>
        <w:jc w:val="both"/>
        <w:rPr>
          <w:rFonts w:ascii="Garamond" w:hAnsi="Garamond"/>
          <w:sz w:val="26"/>
          <w:szCs w:val="26"/>
        </w:rPr>
      </w:pPr>
      <w:r w:rsidRPr="00614AA4">
        <w:rPr>
          <w:rFonts w:ascii="Garamond" w:hAnsi="Garamond"/>
          <w:sz w:val="26"/>
          <w:szCs w:val="26"/>
        </w:rPr>
        <w:t>Directional Paper</w:t>
      </w:r>
    </w:p>
    <w:p w:rsidR="00880E78" w:rsidRPr="00614AA4" w:rsidRDefault="00730028" w:rsidP="00880E78">
      <w:pPr>
        <w:pStyle w:val="ListParagraph"/>
        <w:numPr>
          <w:ilvl w:val="0"/>
          <w:numId w:val="26"/>
        </w:numPr>
        <w:jc w:val="both"/>
        <w:rPr>
          <w:rFonts w:ascii="Garamond" w:hAnsi="Garamond"/>
          <w:sz w:val="26"/>
          <w:szCs w:val="26"/>
        </w:rPr>
      </w:pPr>
      <w:r w:rsidRPr="00614AA4">
        <w:rPr>
          <w:rFonts w:ascii="Garamond" w:hAnsi="Garamond"/>
          <w:sz w:val="26"/>
          <w:szCs w:val="26"/>
        </w:rPr>
        <w:t>Executive Presentation</w:t>
      </w:r>
    </w:p>
    <w:p w:rsidR="00A37A38" w:rsidRPr="00614AA4" w:rsidRDefault="00730028" w:rsidP="00880E78">
      <w:pPr>
        <w:jc w:val="both"/>
        <w:rPr>
          <w:rFonts w:ascii="Garamond" w:hAnsi="Garamond"/>
          <w:sz w:val="26"/>
          <w:szCs w:val="26"/>
        </w:rPr>
      </w:pPr>
      <w:r w:rsidRPr="00614AA4">
        <w:rPr>
          <w:rFonts w:ascii="Garamond" w:hAnsi="Garamond"/>
          <w:sz w:val="26"/>
          <w:szCs w:val="26"/>
        </w:rPr>
        <w:t xml:space="preserve"> </w:t>
      </w:r>
      <w:r w:rsidR="00A37A38" w:rsidRPr="00614AA4">
        <w:rPr>
          <w:rFonts w:ascii="Garamond" w:hAnsi="Garamond"/>
          <w:sz w:val="26"/>
          <w:szCs w:val="26"/>
        </w:rPr>
        <w:t xml:space="preserve">The </w:t>
      </w:r>
      <w:r w:rsidR="002455DD" w:rsidRPr="00614AA4">
        <w:rPr>
          <w:rFonts w:ascii="Garamond" w:hAnsi="Garamond"/>
          <w:sz w:val="26"/>
          <w:szCs w:val="26"/>
        </w:rPr>
        <w:t xml:space="preserve">performed activities </w:t>
      </w:r>
      <w:r w:rsidR="00A37A38" w:rsidRPr="00614AA4">
        <w:rPr>
          <w:rFonts w:ascii="Garamond" w:hAnsi="Garamond"/>
          <w:sz w:val="26"/>
          <w:szCs w:val="26"/>
        </w:rPr>
        <w:t xml:space="preserve">of the </w:t>
      </w:r>
      <w:r w:rsidR="00763F89" w:rsidRPr="00614AA4">
        <w:rPr>
          <w:rFonts w:ascii="Garamond" w:hAnsi="Garamond"/>
          <w:sz w:val="26"/>
          <w:szCs w:val="26"/>
        </w:rPr>
        <w:t xml:space="preserve">firm </w:t>
      </w:r>
      <w:r w:rsidR="00A37A38" w:rsidRPr="00614AA4">
        <w:rPr>
          <w:rFonts w:ascii="Garamond" w:hAnsi="Garamond"/>
          <w:sz w:val="26"/>
          <w:szCs w:val="26"/>
        </w:rPr>
        <w:t xml:space="preserve">shall </w:t>
      </w:r>
      <w:r w:rsidR="00763F89" w:rsidRPr="00614AA4">
        <w:rPr>
          <w:rFonts w:ascii="Garamond" w:hAnsi="Garamond"/>
          <w:sz w:val="26"/>
          <w:szCs w:val="26"/>
        </w:rPr>
        <w:t xml:space="preserve">also </w:t>
      </w:r>
      <w:r w:rsidR="00A37A38" w:rsidRPr="00614AA4">
        <w:rPr>
          <w:rFonts w:ascii="Garamond" w:hAnsi="Garamond"/>
          <w:sz w:val="26"/>
          <w:szCs w:val="26"/>
        </w:rPr>
        <w:t xml:space="preserve">comprise </w:t>
      </w:r>
      <w:r w:rsidR="00320A6D" w:rsidRPr="00614AA4">
        <w:rPr>
          <w:rFonts w:ascii="Garamond" w:hAnsi="Garamond"/>
          <w:sz w:val="26"/>
          <w:szCs w:val="26"/>
        </w:rPr>
        <w:t>the</w:t>
      </w:r>
      <w:r w:rsidR="00A37A38" w:rsidRPr="00614AA4">
        <w:rPr>
          <w:rFonts w:ascii="Garamond" w:hAnsi="Garamond"/>
          <w:sz w:val="26"/>
          <w:szCs w:val="26"/>
        </w:rPr>
        <w:t xml:space="preserve"> following</w:t>
      </w:r>
      <w:r w:rsidR="00763F89" w:rsidRPr="00614AA4">
        <w:rPr>
          <w:rFonts w:ascii="Garamond" w:hAnsi="Garamond"/>
          <w:sz w:val="26"/>
          <w:szCs w:val="26"/>
        </w:rPr>
        <w:t xml:space="preserve"> indicative elements</w:t>
      </w:r>
      <w:r w:rsidR="00A37A38" w:rsidRPr="00614AA4">
        <w:rPr>
          <w:rFonts w:ascii="Garamond" w:hAnsi="Garamond"/>
          <w:sz w:val="26"/>
          <w:szCs w:val="26"/>
        </w:rPr>
        <w:t>:</w:t>
      </w:r>
    </w:p>
    <w:p w:rsidR="00320A6D" w:rsidRPr="00614AA4" w:rsidRDefault="00320A6D" w:rsidP="00880E78">
      <w:pPr>
        <w:pStyle w:val="ListParagraph"/>
        <w:numPr>
          <w:ilvl w:val="0"/>
          <w:numId w:val="24"/>
        </w:numPr>
        <w:jc w:val="mediumKashida"/>
        <w:rPr>
          <w:rFonts w:ascii="Garamond" w:hAnsi="Garamond"/>
          <w:sz w:val="26"/>
          <w:szCs w:val="26"/>
        </w:rPr>
      </w:pPr>
      <w:r w:rsidRPr="00614AA4">
        <w:rPr>
          <w:rFonts w:ascii="Garamond" w:hAnsi="Garamond"/>
          <w:sz w:val="26"/>
          <w:szCs w:val="26"/>
        </w:rPr>
        <w:t xml:space="preserve">Defining sustainable </w:t>
      </w:r>
      <w:r w:rsidR="00EC6DBE" w:rsidRPr="00614AA4">
        <w:rPr>
          <w:rFonts w:ascii="Garamond" w:hAnsi="Garamond"/>
          <w:sz w:val="26"/>
          <w:szCs w:val="26"/>
        </w:rPr>
        <w:t>i</w:t>
      </w:r>
      <w:r w:rsidRPr="00614AA4">
        <w:rPr>
          <w:rFonts w:ascii="Garamond" w:hAnsi="Garamond"/>
          <w:sz w:val="26"/>
          <w:szCs w:val="26"/>
        </w:rPr>
        <w:t xml:space="preserve">nvestment </w:t>
      </w:r>
      <w:r w:rsidR="003E284A" w:rsidRPr="00614AA4">
        <w:rPr>
          <w:rFonts w:ascii="Garamond" w:hAnsi="Garamond"/>
          <w:sz w:val="26"/>
          <w:szCs w:val="26"/>
        </w:rPr>
        <w:t xml:space="preserve">that is in line with </w:t>
      </w:r>
      <w:r w:rsidR="00264DAF" w:rsidRPr="00614AA4">
        <w:rPr>
          <w:rFonts w:ascii="Garamond" w:hAnsi="Garamond"/>
          <w:sz w:val="26"/>
          <w:szCs w:val="26"/>
        </w:rPr>
        <w:t>IPS recommendations</w:t>
      </w:r>
      <w:r w:rsidR="006F412E" w:rsidRPr="00614AA4">
        <w:rPr>
          <w:rFonts w:ascii="Garamond" w:hAnsi="Garamond"/>
          <w:sz w:val="26"/>
          <w:szCs w:val="26"/>
        </w:rPr>
        <w:t xml:space="preserve"> and </w:t>
      </w:r>
      <w:r w:rsidR="00EC6DBE" w:rsidRPr="00614AA4">
        <w:rPr>
          <w:rFonts w:ascii="Garamond" w:hAnsi="Garamond"/>
          <w:sz w:val="26"/>
          <w:szCs w:val="26"/>
        </w:rPr>
        <w:t>compatible</w:t>
      </w:r>
      <w:r w:rsidR="006F412E" w:rsidRPr="00614AA4">
        <w:rPr>
          <w:rFonts w:ascii="Garamond" w:hAnsi="Garamond"/>
          <w:sz w:val="26"/>
          <w:szCs w:val="26"/>
        </w:rPr>
        <w:t xml:space="preserve"> with </w:t>
      </w:r>
      <w:r w:rsidR="00792B80" w:rsidRPr="00614AA4">
        <w:rPr>
          <w:rFonts w:ascii="Garamond" w:hAnsi="Garamond"/>
          <w:sz w:val="26"/>
          <w:szCs w:val="26"/>
        </w:rPr>
        <w:t xml:space="preserve">the value </w:t>
      </w:r>
      <w:r w:rsidR="00EC6DBE" w:rsidRPr="00614AA4">
        <w:rPr>
          <w:rFonts w:ascii="Garamond" w:hAnsi="Garamond"/>
          <w:sz w:val="26"/>
          <w:szCs w:val="26"/>
        </w:rPr>
        <w:t>proposition</w:t>
      </w:r>
      <w:r w:rsidR="00792B80" w:rsidRPr="00614AA4">
        <w:rPr>
          <w:rFonts w:ascii="Garamond" w:hAnsi="Garamond"/>
          <w:sz w:val="26"/>
          <w:szCs w:val="26"/>
        </w:rPr>
        <w:t xml:space="preserve"> of Jordan </w:t>
      </w:r>
      <w:r w:rsidR="00EC6DBE" w:rsidRPr="00614AA4">
        <w:rPr>
          <w:rFonts w:ascii="Garamond" w:hAnsi="Garamond"/>
          <w:sz w:val="26"/>
          <w:szCs w:val="26"/>
        </w:rPr>
        <w:t>as a destination for investments</w:t>
      </w:r>
      <w:r w:rsidR="00763F89" w:rsidRPr="00614AA4">
        <w:rPr>
          <w:rFonts w:ascii="Garamond" w:hAnsi="Garamond"/>
          <w:sz w:val="26"/>
          <w:szCs w:val="26"/>
        </w:rPr>
        <w:t xml:space="preserve"> </w:t>
      </w:r>
      <w:r w:rsidR="00D51658" w:rsidRPr="00614AA4">
        <w:rPr>
          <w:rFonts w:ascii="Garamond" w:hAnsi="Garamond"/>
          <w:sz w:val="26"/>
          <w:szCs w:val="26"/>
        </w:rPr>
        <w:t>Map</w:t>
      </w:r>
      <w:r w:rsidR="00763F89" w:rsidRPr="00614AA4">
        <w:rPr>
          <w:rFonts w:ascii="Garamond" w:hAnsi="Garamond"/>
          <w:sz w:val="26"/>
          <w:szCs w:val="26"/>
        </w:rPr>
        <w:t>ping</w:t>
      </w:r>
      <w:r w:rsidR="00D51658" w:rsidRPr="00614AA4">
        <w:rPr>
          <w:rFonts w:ascii="Garamond" w:hAnsi="Garamond"/>
          <w:sz w:val="26"/>
          <w:szCs w:val="26"/>
        </w:rPr>
        <w:t xml:space="preserve"> </w:t>
      </w:r>
      <w:r w:rsidR="00970675" w:rsidRPr="00614AA4">
        <w:rPr>
          <w:rFonts w:ascii="Garamond" w:hAnsi="Garamond"/>
          <w:sz w:val="26"/>
          <w:szCs w:val="26"/>
        </w:rPr>
        <w:t xml:space="preserve">of </w:t>
      </w:r>
      <w:r w:rsidR="00D51658" w:rsidRPr="00614AA4">
        <w:rPr>
          <w:rFonts w:ascii="Garamond" w:hAnsi="Garamond"/>
          <w:sz w:val="26"/>
          <w:szCs w:val="26"/>
        </w:rPr>
        <w:t xml:space="preserve">the current </w:t>
      </w:r>
      <w:r w:rsidR="002455DD" w:rsidRPr="00614AA4">
        <w:rPr>
          <w:rFonts w:ascii="Garamond" w:hAnsi="Garamond"/>
          <w:sz w:val="26"/>
          <w:szCs w:val="26"/>
        </w:rPr>
        <w:t>stockholder</w:t>
      </w:r>
      <w:r w:rsidR="00970675" w:rsidRPr="00614AA4">
        <w:rPr>
          <w:rFonts w:ascii="Garamond" w:hAnsi="Garamond"/>
          <w:sz w:val="26"/>
          <w:szCs w:val="26"/>
        </w:rPr>
        <w:t xml:space="preserve"> and their</w:t>
      </w:r>
      <w:r w:rsidR="00D51658" w:rsidRPr="00614AA4">
        <w:rPr>
          <w:rFonts w:ascii="Garamond" w:hAnsi="Garamond"/>
          <w:sz w:val="26"/>
          <w:szCs w:val="26"/>
        </w:rPr>
        <w:t xml:space="preserve"> engagement mechanisms </w:t>
      </w:r>
      <w:r w:rsidR="00970675" w:rsidRPr="00614AA4">
        <w:rPr>
          <w:rFonts w:ascii="Garamond" w:hAnsi="Garamond"/>
          <w:sz w:val="26"/>
          <w:szCs w:val="26"/>
        </w:rPr>
        <w:t xml:space="preserve">within and across the </w:t>
      </w:r>
      <w:r w:rsidRPr="00614AA4">
        <w:rPr>
          <w:rFonts w:ascii="Garamond" w:hAnsi="Garamond"/>
          <w:sz w:val="26"/>
          <w:szCs w:val="26"/>
        </w:rPr>
        <w:t xml:space="preserve">government in general and </w:t>
      </w:r>
      <w:r w:rsidR="00970675" w:rsidRPr="00614AA4">
        <w:rPr>
          <w:rFonts w:ascii="Garamond" w:hAnsi="Garamond"/>
          <w:sz w:val="26"/>
          <w:szCs w:val="26"/>
        </w:rPr>
        <w:t xml:space="preserve">with </w:t>
      </w:r>
      <w:r w:rsidRPr="00614AA4">
        <w:rPr>
          <w:rFonts w:ascii="Garamond" w:hAnsi="Garamond"/>
          <w:sz w:val="26"/>
          <w:szCs w:val="26"/>
        </w:rPr>
        <w:t>MOIN in particular</w:t>
      </w:r>
    </w:p>
    <w:p w:rsidR="00320A6D" w:rsidRPr="00614AA4" w:rsidRDefault="00AB4266" w:rsidP="00880E78">
      <w:pPr>
        <w:pStyle w:val="ListParagraph"/>
        <w:numPr>
          <w:ilvl w:val="0"/>
          <w:numId w:val="24"/>
        </w:numPr>
        <w:jc w:val="mediumKashida"/>
        <w:rPr>
          <w:rFonts w:ascii="Garamond" w:hAnsi="Garamond"/>
          <w:sz w:val="26"/>
          <w:szCs w:val="26"/>
        </w:rPr>
      </w:pPr>
      <w:r w:rsidRPr="00614AA4">
        <w:rPr>
          <w:rFonts w:ascii="Garamond" w:hAnsi="Garamond"/>
          <w:sz w:val="26"/>
          <w:szCs w:val="26"/>
        </w:rPr>
        <w:t xml:space="preserve">In full consultation with key staff </w:t>
      </w:r>
      <w:r w:rsidR="00970675" w:rsidRPr="00614AA4">
        <w:rPr>
          <w:rFonts w:ascii="Garamond" w:hAnsi="Garamond"/>
          <w:sz w:val="26"/>
          <w:szCs w:val="26"/>
        </w:rPr>
        <w:t xml:space="preserve">at </w:t>
      </w:r>
      <w:r w:rsidRPr="00614AA4">
        <w:rPr>
          <w:rFonts w:ascii="Garamond" w:hAnsi="Garamond"/>
          <w:sz w:val="26"/>
          <w:szCs w:val="26"/>
        </w:rPr>
        <w:t xml:space="preserve">MOIN and </w:t>
      </w:r>
      <w:r w:rsidR="002A1EE7" w:rsidRPr="00614AA4">
        <w:rPr>
          <w:rFonts w:ascii="Garamond" w:hAnsi="Garamond"/>
          <w:sz w:val="26"/>
          <w:szCs w:val="26"/>
        </w:rPr>
        <w:t xml:space="preserve">other </w:t>
      </w:r>
      <w:r w:rsidRPr="00614AA4">
        <w:rPr>
          <w:rFonts w:ascii="Garamond" w:hAnsi="Garamond"/>
          <w:sz w:val="26"/>
          <w:szCs w:val="26"/>
        </w:rPr>
        <w:t>public agencies</w:t>
      </w:r>
      <w:r w:rsidR="002A1EE7" w:rsidRPr="00614AA4">
        <w:rPr>
          <w:rFonts w:ascii="Garamond" w:hAnsi="Garamond"/>
          <w:sz w:val="26"/>
          <w:szCs w:val="26"/>
        </w:rPr>
        <w:t xml:space="preserve">, the </w:t>
      </w:r>
      <w:r w:rsidR="00970675" w:rsidRPr="00614AA4">
        <w:rPr>
          <w:rFonts w:ascii="Garamond" w:hAnsi="Garamond"/>
          <w:sz w:val="26"/>
          <w:szCs w:val="26"/>
        </w:rPr>
        <w:t xml:space="preserve">firm </w:t>
      </w:r>
      <w:r w:rsidR="002A1EE7" w:rsidRPr="00614AA4">
        <w:rPr>
          <w:rFonts w:ascii="Garamond" w:hAnsi="Garamond"/>
          <w:sz w:val="26"/>
          <w:szCs w:val="26"/>
        </w:rPr>
        <w:t>shall d</w:t>
      </w:r>
      <w:r w:rsidR="00320A6D" w:rsidRPr="00614AA4">
        <w:rPr>
          <w:rFonts w:ascii="Garamond" w:hAnsi="Garamond"/>
          <w:sz w:val="26"/>
          <w:szCs w:val="26"/>
        </w:rPr>
        <w:t>evelop and implement an action plan identifying main benchmarks taking into consideration that such action plan includes elements such as:</w:t>
      </w:r>
    </w:p>
    <w:p w:rsidR="00320A6D" w:rsidRPr="00614AA4" w:rsidRDefault="00320A6D" w:rsidP="00880E78">
      <w:pPr>
        <w:pStyle w:val="ListParagraph"/>
        <w:numPr>
          <w:ilvl w:val="1"/>
          <w:numId w:val="24"/>
        </w:numPr>
        <w:jc w:val="both"/>
        <w:rPr>
          <w:rFonts w:ascii="Garamond" w:hAnsi="Garamond"/>
          <w:sz w:val="26"/>
          <w:szCs w:val="26"/>
        </w:rPr>
      </w:pPr>
      <w:r w:rsidRPr="00614AA4">
        <w:rPr>
          <w:rFonts w:ascii="Garamond" w:hAnsi="Garamond"/>
          <w:sz w:val="26"/>
          <w:szCs w:val="26"/>
        </w:rPr>
        <w:t xml:space="preserve">Defining target groups, and communication requirements. </w:t>
      </w:r>
    </w:p>
    <w:p w:rsidR="00320A6D" w:rsidRPr="00614AA4" w:rsidRDefault="00320A6D" w:rsidP="00880E78">
      <w:pPr>
        <w:pStyle w:val="ListParagraph"/>
        <w:numPr>
          <w:ilvl w:val="1"/>
          <w:numId w:val="24"/>
        </w:numPr>
        <w:jc w:val="both"/>
        <w:rPr>
          <w:rFonts w:ascii="Garamond" w:hAnsi="Garamond"/>
          <w:sz w:val="26"/>
          <w:szCs w:val="26"/>
        </w:rPr>
      </w:pPr>
      <w:r w:rsidRPr="00614AA4">
        <w:rPr>
          <w:rFonts w:ascii="Garamond" w:hAnsi="Garamond"/>
          <w:sz w:val="26"/>
          <w:szCs w:val="26"/>
        </w:rPr>
        <w:t>Develop implementation plan and appropriate tools to implement it.</w:t>
      </w:r>
    </w:p>
    <w:p w:rsidR="00320A6D" w:rsidRPr="00614AA4" w:rsidRDefault="00320A6D" w:rsidP="00880E78">
      <w:pPr>
        <w:pStyle w:val="ListParagraph"/>
        <w:numPr>
          <w:ilvl w:val="1"/>
          <w:numId w:val="24"/>
        </w:numPr>
        <w:jc w:val="both"/>
        <w:rPr>
          <w:rFonts w:ascii="Garamond" w:hAnsi="Garamond"/>
          <w:sz w:val="26"/>
          <w:szCs w:val="26"/>
        </w:rPr>
      </w:pPr>
      <w:r w:rsidRPr="00614AA4">
        <w:rPr>
          <w:rFonts w:ascii="Garamond" w:hAnsi="Garamond"/>
          <w:sz w:val="26"/>
          <w:szCs w:val="26"/>
        </w:rPr>
        <w:t xml:space="preserve">Proposed timeframe for remedial actions if required. </w:t>
      </w:r>
    </w:p>
    <w:p w:rsidR="00320A6D" w:rsidRPr="00614AA4" w:rsidRDefault="00905F4D" w:rsidP="00880E78">
      <w:pPr>
        <w:pStyle w:val="ListParagraph"/>
        <w:numPr>
          <w:ilvl w:val="1"/>
          <w:numId w:val="24"/>
        </w:numPr>
        <w:jc w:val="both"/>
        <w:rPr>
          <w:rFonts w:ascii="Garamond" w:hAnsi="Garamond"/>
          <w:sz w:val="26"/>
          <w:szCs w:val="26"/>
        </w:rPr>
      </w:pPr>
      <w:r w:rsidRPr="00614AA4">
        <w:rPr>
          <w:rFonts w:ascii="Garamond" w:hAnsi="Garamond"/>
          <w:sz w:val="26"/>
          <w:szCs w:val="26"/>
        </w:rPr>
        <w:t>P</w:t>
      </w:r>
      <w:r w:rsidR="00320A6D" w:rsidRPr="00614AA4">
        <w:rPr>
          <w:rFonts w:ascii="Garamond" w:hAnsi="Garamond"/>
          <w:sz w:val="26"/>
          <w:szCs w:val="26"/>
        </w:rPr>
        <w:t xml:space="preserve">rovide full consultation with MOIN and other </w:t>
      </w:r>
      <w:r w:rsidR="00DE052F" w:rsidRPr="00614AA4">
        <w:rPr>
          <w:rFonts w:ascii="Garamond" w:hAnsi="Garamond"/>
          <w:sz w:val="26"/>
          <w:szCs w:val="26"/>
        </w:rPr>
        <w:t>l</w:t>
      </w:r>
      <w:r w:rsidR="00320A6D" w:rsidRPr="00614AA4">
        <w:rPr>
          <w:rFonts w:ascii="Garamond" w:hAnsi="Garamond"/>
          <w:sz w:val="26"/>
          <w:szCs w:val="26"/>
        </w:rPr>
        <w:t>ine Ministries and public agencies, to reach a set of recommendations. The assigned consultant will be responsible for activities concerning this assignment.</w:t>
      </w:r>
    </w:p>
    <w:p w:rsidR="000F19A9" w:rsidRPr="00614AA4" w:rsidRDefault="006F25DD" w:rsidP="00880E78">
      <w:pPr>
        <w:pStyle w:val="ListParagraph"/>
        <w:numPr>
          <w:ilvl w:val="1"/>
          <w:numId w:val="24"/>
        </w:numPr>
        <w:jc w:val="both"/>
        <w:rPr>
          <w:rFonts w:ascii="Garamond" w:hAnsi="Garamond"/>
          <w:sz w:val="26"/>
          <w:szCs w:val="26"/>
        </w:rPr>
      </w:pPr>
      <w:r w:rsidRPr="00614AA4">
        <w:rPr>
          <w:rFonts w:ascii="Garamond" w:hAnsi="Garamond"/>
          <w:sz w:val="26"/>
          <w:szCs w:val="26"/>
        </w:rPr>
        <w:t>A</w:t>
      </w:r>
      <w:r w:rsidR="00B308E2" w:rsidRPr="00614AA4">
        <w:rPr>
          <w:rFonts w:ascii="Garamond" w:hAnsi="Garamond"/>
          <w:sz w:val="26"/>
          <w:szCs w:val="26"/>
        </w:rPr>
        <w:t>ssess investment</w:t>
      </w:r>
      <w:r w:rsidR="00C101F0" w:rsidRPr="00614AA4">
        <w:rPr>
          <w:rFonts w:ascii="Garamond" w:hAnsi="Garamond"/>
          <w:sz w:val="26"/>
          <w:szCs w:val="26"/>
        </w:rPr>
        <w:t xml:space="preserve"> challenges </w:t>
      </w:r>
      <w:r w:rsidRPr="00614AA4">
        <w:rPr>
          <w:rFonts w:ascii="Garamond" w:hAnsi="Garamond"/>
          <w:sz w:val="26"/>
          <w:szCs w:val="26"/>
        </w:rPr>
        <w:t xml:space="preserve">&amp; </w:t>
      </w:r>
      <w:r w:rsidR="00B308E2" w:rsidRPr="00614AA4">
        <w:rPr>
          <w:rFonts w:ascii="Garamond" w:hAnsi="Garamond"/>
          <w:sz w:val="26"/>
          <w:szCs w:val="26"/>
        </w:rPr>
        <w:t xml:space="preserve">opportunities to show how stakeholders </w:t>
      </w:r>
      <w:r w:rsidR="00AF7F79" w:rsidRPr="00614AA4">
        <w:rPr>
          <w:rFonts w:ascii="Garamond" w:hAnsi="Garamond"/>
          <w:sz w:val="26"/>
          <w:szCs w:val="26"/>
        </w:rPr>
        <w:t xml:space="preserve">(through consultations with them) </w:t>
      </w:r>
      <w:r w:rsidR="006A3444" w:rsidRPr="00614AA4">
        <w:rPr>
          <w:rFonts w:ascii="Garamond" w:hAnsi="Garamond"/>
          <w:sz w:val="26"/>
          <w:szCs w:val="26"/>
        </w:rPr>
        <w:t>need</w:t>
      </w:r>
      <w:r w:rsidR="00B308E2" w:rsidRPr="00614AA4">
        <w:rPr>
          <w:rFonts w:ascii="Garamond" w:hAnsi="Garamond"/>
          <w:sz w:val="26"/>
          <w:szCs w:val="26"/>
        </w:rPr>
        <w:t xml:space="preserve"> to be mobilized in a coherent, coordinated, and systematic way toward leveraging linkages across investment regulators and operating sectors. </w:t>
      </w:r>
    </w:p>
    <w:p w:rsidR="00C61224" w:rsidRPr="00614AA4" w:rsidRDefault="00C61224" w:rsidP="00C61224">
      <w:pPr>
        <w:autoSpaceDE w:val="0"/>
        <w:autoSpaceDN w:val="0"/>
        <w:adjustRightInd w:val="0"/>
        <w:spacing w:after="0" w:line="240" w:lineRule="auto"/>
        <w:jc w:val="both"/>
        <w:rPr>
          <w:rFonts w:cs="Arial-BoldMT"/>
          <w:b/>
          <w:bCs/>
          <w:sz w:val="26"/>
          <w:szCs w:val="26"/>
        </w:rPr>
      </w:pPr>
    </w:p>
    <w:p w:rsidR="00F32DBE" w:rsidRPr="00614AA4" w:rsidRDefault="00F32DBE" w:rsidP="00C2752E">
      <w:pPr>
        <w:numPr>
          <w:ilvl w:val="0"/>
          <w:numId w:val="4"/>
        </w:numPr>
        <w:spacing w:after="100" w:afterAutospacing="1"/>
        <w:ind w:left="0" w:firstLine="0"/>
        <w:jc w:val="both"/>
        <w:rPr>
          <w:rFonts w:ascii="Garamond" w:hAnsi="Garamond"/>
          <w:b/>
          <w:bCs/>
          <w:sz w:val="28"/>
          <w:szCs w:val="28"/>
        </w:rPr>
      </w:pPr>
      <w:r w:rsidRPr="00614AA4">
        <w:rPr>
          <w:rFonts w:ascii="Garamond" w:hAnsi="Garamond"/>
          <w:b/>
          <w:bCs/>
          <w:sz w:val="28"/>
          <w:szCs w:val="28"/>
        </w:rPr>
        <w:t>Implementation Arrangements</w:t>
      </w:r>
      <w:r w:rsidR="0046464A" w:rsidRPr="00614AA4">
        <w:rPr>
          <w:rFonts w:ascii="Garamond" w:hAnsi="Garamond"/>
          <w:b/>
          <w:bCs/>
          <w:sz w:val="28"/>
          <w:szCs w:val="28"/>
        </w:rPr>
        <w:t>,</w:t>
      </w:r>
      <w:r w:rsidRPr="00614AA4">
        <w:rPr>
          <w:rFonts w:ascii="Garamond" w:hAnsi="Garamond"/>
          <w:b/>
          <w:bCs/>
          <w:sz w:val="28"/>
          <w:szCs w:val="28"/>
        </w:rPr>
        <w:t xml:space="preserve"> Deliverables</w:t>
      </w:r>
      <w:r w:rsidR="0046464A" w:rsidRPr="00614AA4">
        <w:rPr>
          <w:rFonts w:ascii="Garamond" w:hAnsi="Garamond"/>
          <w:b/>
          <w:bCs/>
          <w:sz w:val="28"/>
          <w:szCs w:val="28"/>
        </w:rPr>
        <w:t>, and Payment Schedule:</w:t>
      </w:r>
    </w:p>
    <w:p w:rsidR="007A273C" w:rsidRPr="00614AA4" w:rsidRDefault="00CC46A4" w:rsidP="00F65037">
      <w:pPr>
        <w:ind w:left="360"/>
        <w:jc w:val="both"/>
        <w:rPr>
          <w:rFonts w:ascii="Garamond" w:hAnsi="Garamond"/>
          <w:sz w:val="26"/>
          <w:szCs w:val="26"/>
        </w:rPr>
      </w:pPr>
      <w:r w:rsidRPr="00614AA4">
        <w:rPr>
          <w:rFonts w:ascii="Garamond" w:hAnsi="Garamond"/>
          <w:sz w:val="26"/>
          <w:szCs w:val="26"/>
        </w:rPr>
        <w:t xml:space="preserve">Project Timeline (items can overlap to utilize synergies, leading to a total estimated time of </w:t>
      </w:r>
      <w:r w:rsidR="00CD0A09" w:rsidRPr="00614AA4">
        <w:rPr>
          <w:rFonts w:ascii="Garamond" w:hAnsi="Garamond"/>
          <w:b/>
          <w:bCs/>
          <w:sz w:val="26"/>
          <w:szCs w:val="26"/>
        </w:rPr>
        <w:t>12</w:t>
      </w:r>
      <w:r w:rsidRPr="00614AA4">
        <w:rPr>
          <w:rFonts w:ascii="Garamond" w:hAnsi="Garamond"/>
          <w:sz w:val="26"/>
          <w:szCs w:val="26"/>
        </w:rPr>
        <w:t xml:space="preserve"> weeks</w:t>
      </w:r>
      <w:r w:rsidR="00B6244B" w:rsidRPr="00614AA4">
        <w:rPr>
          <w:rFonts w:ascii="Garamond" w:hAnsi="Garamond"/>
          <w:sz w:val="26"/>
          <w:szCs w:val="26"/>
        </w:rPr>
        <w:t>). The</w:t>
      </w:r>
      <w:r w:rsidR="007A273C" w:rsidRPr="00614AA4">
        <w:rPr>
          <w:rFonts w:ascii="Garamond" w:hAnsi="Garamond"/>
          <w:sz w:val="26"/>
          <w:szCs w:val="26"/>
        </w:rPr>
        <w:t xml:space="preserve"> expected starting date of the consultancy services is </w:t>
      </w:r>
      <w:r w:rsidR="00F65037" w:rsidRPr="00614AA4">
        <w:rPr>
          <w:rFonts w:ascii="Garamond" w:hAnsi="Garamond"/>
          <w:sz w:val="26"/>
          <w:szCs w:val="26"/>
        </w:rPr>
        <w:t>from the signature date of the agreement.</w:t>
      </w:r>
      <w:r w:rsidR="000B0CAB" w:rsidRPr="00614AA4">
        <w:rPr>
          <w:rFonts w:ascii="Garamond" w:hAnsi="Garamond"/>
          <w:sz w:val="26"/>
          <w:szCs w:val="26"/>
        </w:rPr>
        <w:t xml:space="preserve"> </w:t>
      </w:r>
      <w:r w:rsidR="00F65037" w:rsidRPr="00614AA4">
        <w:rPr>
          <w:rFonts w:ascii="Garamond" w:hAnsi="Garamond"/>
          <w:sz w:val="26"/>
          <w:szCs w:val="26"/>
        </w:rPr>
        <w:t>T</w:t>
      </w:r>
      <w:r w:rsidR="006964B3" w:rsidRPr="00614AA4">
        <w:rPr>
          <w:rFonts w:ascii="Garamond" w:hAnsi="Garamond"/>
          <w:sz w:val="26"/>
          <w:szCs w:val="26"/>
        </w:rPr>
        <w:t>he</w:t>
      </w:r>
      <w:r w:rsidR="007A273C" w:rsidRPr="00614AA4">
        <w:rPr>
          <w:rFonts w:ascii="Garamond" w:hAnsi="Garamond"/>
          <w:sz w:val="26"/>
          <w:szCs w:val="26"/>
        </w:rPr>
        <w:t xml:space="preserve"> consultancy services shall be scheduled in accordance with the time schedule below:</w:t>
      </w:r>
    </w:p>
    <w:tbl>
      <w:tblPr>
        <w:tblStyle w:val="TableGrid"/>
        <w:tblpPr w:leftFromText="180" w:rightFromText="180" w:vertAnchor="text" w:tblpY="1"/>
        <w:tblOverlap w:val="never"/>
        <w:tblW w:w="9985" w:type="dxa"/>
        <w:tblLook w:val="04A0" w:firstRow="1" w:lastRow="0" w:firstColumn="1" w:lastColumn="0" w:noHBand="0" w:noVBand="1"/>
      </w:tblPr>
      <w:tblGrid>
        <w:gridCol w:w="6169"/>
        <w:gridCol w:w="1633"/>
        <w:gridCol w:w="1148"/>
        <w:gridCol w:w="1035"/>
      </w:tblGrid>
      <w:tr w:rsidR="00C26427" w:rsidRPr="00614AA4" w:rsidTr="00614AA4">
        <w:trPr>
          <w:trHeight w:val="432"/>
          <w:tblHeader/>
        </w:trPr>
        <w:tc>
          <w:tcPr>
            <w:tcW w:w="7794" w:type="dxa"/>
            <w:gridSpan w:val="2"/>
          </w:tcPr>
          <w:p w:rsidR="00C26427" w:rsidRPr="00614AA4" w:rsidRDefault="0062349D" w:rsidP="00614AA4">
            <w:pPr>
              <w:spacing w:line="276" w:lineRule="auto"/>
              <w:jc w:val="center"/>
              <w:rPr>
                <w:rFonts w:ascii="Garamond" w:hAnsi="Garamond"/>
                <w:sz w:val="24"/>
                <w:szCs w:val="24"/>
              </w:rPr>
            </w:pPr>
            <w:r w:rsidRPr="00614AA4">
              <w:rPr>
                <w:rFonts w:ascii="Garamond" w:hAnsi="Garamond"/>
                <w:b/>
                <w:bCs/>
                <w:sz w:val="26"/>
                <w:szCs w:val="26"/>
              </w:rPr>
              <w:t>Consultancy Services Deliverables (1 Original and 4 Copies)</w:t>
            </w:r>
            <w:r w:rsidR="00C26427" w:rsidRPr="00614AA4">
              <w:rPr>
                <w:rFonts w:ascii="Garamond" w:hAnsi="Garamond"/>
                <w:sz w:val="24"/>
                <w:szCs w:val="24"/>
              </w:rPr>
              <w:t xml:space="preserve"> </w:t>
            </w:r>
          </w:p>
          <w:p w:rsidR="00C466DE" w:rsidRPr="00614AA4" w:rsidRDefault="00146A29" w:rsidP="00614AA4">
            <w:pPr>
              <w:spacing w:line="276" w:lineRule="auto"/>
              <w:jc w:val="center"/>
              <w:rPr>
                <w:rFonts w:ascii="Garamond" w:hAnsi="Garamond"/>
                <w:b/>
                <w:bCs/>
                <w:sz w:val="24"/>
                <w:szCs w:val="24"/>
              </w:rPr>
            </w:pPr>
            <w:r w:rsidRPr="00614AA4">
              <w:rPr>
                <w:rFonts w:ascii="Garamond" w:hAnsi="Garamond"/>
                <w:b/>
                <w:bCs/>
                <w:color w:val="C00000"/>
                <w:sz w:val="24"/>
                <w:szCs w:val="24"/>
              </w:rPr>
              <w:t xml:space="preserve">Both two </w:t>
            </w:r>
            <w:r w:rsidR="00300723" w:rsidRPr="00614AA4">
              <w:rPr>
                <w:rFonts w:ascii="Garamond" w:hAnsi="Garamond"/>
                <w:b/>
                <w:bCs/>
                <w:color w:val="C00000"/>
                <w:sz w:val="24"/>
                <w:szCs w:val="24"/>
              </w:rPr>
              <w:t>languages</w:t>
            </w:r>
            <w:r w:rsidRPr="00614AA4">
              <w:rPr>
                <w:rFonts w:ascii="Garamond" w:hAnsi="Garamond"/>
                <w:b/>
                <w:bCs/>
                <w:color w:val="C00000"/>
                <w:sz w:val="24"/>
                <w:szCs w:val="24"/>
              </w:rPr>
              <w:t xml:space="preserve"> (Arabic/English)</w:t>
            </w:r>
          </w:p>
        </w:tc>
        <w:tc>
          <w:tcPr>
            <w:tcW w:w="1152" w:type="dxa"/>
          </w:tcPr>
          <w:p w:rsidR="00C26427" w:rsidRPr="00614AA4" w:rsidRDefault="00C26427" w:rsidP="00614AA4">
            <w:pPr>
              <w:spacing w:line="276" w:lineRule="auto"/>
              <w:jc w:val="center"/>
              <w:rPr>
                <w:rFonts w:ascii="Garamond" w:hAnsi="Garamond"/>
                <w:sz w:val="24"/>
                <w:szCs w:val="24"/>
              </w:rPr>
            </w:pPr>
          </w:p>
        </w:tc>
        <w:tc>
          <w:tcPr>
            <w:tcW w:w="1039" w:type="dxa"/>
          </w:tcPr>
          <w:p w:rsidR="00C26427" w:rsidRPr="00614AA4" w:rsidRDefault="00C26427" w:rsidP="00614AA4">
            <w:pPr>
              <w:spacing w:line="276" w:lineRule="auto"/>
              <w:jc w:val="center"/>
              <w:rPr>
                <w:rFonts w:ascii="Garamond" w:hAnsi="Garamond"/>
                <w:sz w:val="24"/>
                <w:szCs w:val="24"/>
              </w:rPr>
            </w:pPr>
            <w:r w:rsidRPr="00614AA4">
              <w:rPr>
                <w:rFonts w:ascii="Garamond" w:hAnsi="Garamond"/>
                <w:sz w:val="24"/>
                <w:szCs w:val="24"/>
              </w:rPr>
              <w:tab/>
            </w:r>
          </w:p>
          <w:p w:rsidR="00C26427" w:rsidRPr="00614AA4" w:rsidRDefault="00C26427" w:rsidP="00614AA4">
            <w:pPr>
              <w:spacing w:line="276" w:lineRule="auto"/>
              <w:jc w:val="center"/>
              <w:rPr>
                <w:rFonts w:ascii="Garamond" w:hAnsi="Garamond"/>
                <w:sz w:val="24"/>
                <w:szCs w:val="24"/>
              </w:rPr>
            </w:pPr>
          </w:p>
        </w:tc>
      </w:tr>
      <w:tr w:rsidR="00A2731B" w:rsidRPr="00614AA4" w:rsidTr="00614AA4">
        <w:trPr>
          <w:trHeight w:val="874"/>
          <w:tblHeader/>
        </w:trPr>
        <w:tc>
          <w:tcPr>
            <w:tcW w:w="6374" w:type="dxa"/>
            <w:shd w:val="clear" w:color="auto" w:fill="EEECE1" w:themeFill="background2"/>
          </w:tcPr>
          <w:p w:rsidR="00C26427" w:rsidRPr="00614AA4" w:rsidRDefault="00C26427" w:rsidP="00614AA4">
            <w:pPr>
              <w:spacing w:line="276" w:lineRule="auto"/>
              <w:jc w:val="center"/>
              <w:rPr>
                <w:rFonts w:ascii="Garamond" w:hAnsi="Garamond"/>
              </w:rPr>
            </w:pPr>
            <w:r w:rsidRPr="00614AA4">
              <w:rPr>
                <w:rFonts w:ascii="Garamond" w:hAnsi="Garamond"/>
              </w:rPr>
              <w:t>output</w:t>
            </w:r>
          </w:p>
        </w:tc>
        <w:tc>
          <w:tcPr>
            <w:tcW w:w="1420" w:type="dxa"/>
            <w:shd w:val="clear" w:color="auto" w:fill="EEECE1" w:themeFill="background2"/>
          </w:tcPr>
          <w:p w:rsidR="00C26427" w:rsidRPr="00614AA4" w:rsidRDefault="00C26427" w:rsidP="00614AA4">
            <w:pPr>
              <w:spacing w:line="276" w:lineRule="auto"/>
              <w:jc w:val="center"/>
              <w:rPr>
                <w:rFonts w:ascii="Garamond" w:hAnsi="Garamond"/>
              </w:rPr>
            </w:pPr>
            <w:r w:rsidRPr="00614AA4">
              <w:rPr>
                <w:rFonts w:ascii="Garamond" w:hAnsi="Garamond"/>
              </w:rPr>
              <w:t>Delivery from the Commencement Date</w:t>
            </w:r>
          </w:p>
        </w:tc>
        <w:tc>
          <w:tcPr>
            <w:tcW w:w="1152" w:type="dxa"/>
            <w:shd w:val="clear" w:color="auto" w:fill="EEECE1" w:themeFill="background2"/>
          </w:tcPr>
          <w:p w:rsidR="00C26427" w:rsidRPr="00614AA4" w:rsidRDefault="00C26427" w:rsidP="00614AA4">
            <w:pPr>
              <w:spacing w:line="276" w:lineRule="auto"/>
              <w:jc w:val="center"/>
              <w:rPr>
                <w:rFonts w:ascii="Garamond" w:hAnsi="Garamond"/>
              </w:rPr>
            </w:pPr>
            <w:r w:rsidRPr="00614AA4">
              <w:rPr>
                <w:rFonts w:ascii="Garamond" w:hAnsi="Garamond"/>
              </w:rPr>
              <w:t>Estimated Delivery Date</w:t>
            </w:r>
          </w:p>
        </w:tc>
        <w:tc>
          <w:tcPr>
            <w:tcW w:w="1039" w:type="dxa"/>
            <w:shd w:val="clear" w:color="auto" w:fill="EEECE1" w:themeFill="background2"/>
          </w:tcPr>
          <w:p w:rsidR="00C26427" w:rsidRPr="00614AA4" w:rsidRDefault="00C26427" w:rsidP="00614AA4">
            <w:pPr>
              <w:spacing w:line="276" w:lineRule="auto"/>
              <w:jc w:val="center"/>
              <w:rPr>
                <w:rFonts w:ascii="Garamond" w:hAnsi="Garamond"/>
              </w:rPr>
            </w:pPr>
            <w:r w:rsidRPr="00614AA4">
              <w:rPr>
                <w:rFonts w:ascii="Garamond" w:hAnsi="Garamond"/>
              </w:rPr>
              <w:t>Payment Schedule</w:t>
            </w:r>
          </w:p>
        </w:tc>
      </w:tr>
      <w:tr w:rsidR="00A2731B" w:rsidRPr="00614AA4" w:rsidTr="00614AA4">
        <w:trPr>
          <w:trHeight w:val="432"/>
        </w:trPr>
        <w:tc>
          <w:tcPr>
            <w:tcW w:w="6374" w:type="dxa"/>
            <w:vAlign w:val="center"/>
          </w:tcPr>
          <w:p w:rsidR="00CF2994" w:rsidRPr="00614AA4" w:rsidRDefault="00CF2994" w:rsidP="00614AA4">
            <w:pPr>
              <w:jc w:val="both"/>
              <w:rPr>
                <w:rFonts w:ascii="Garamond" w:hAnsi="Garamond"/>
                <w:b/>
                <w:bCs/>
                <w:sz w:val="26"/>
                <w:szCs w:val="26"/>
              </w:rPr>
            </w:pPr>
            <w:r w:rsidRPr="00614AA4">
              <w:rPr>
                <w:rFonts w:ascii="Garamond" w:hAnsi="Garamond"/>
                <w:sz w:val="26"/>
                <w:szCs w:val="26"/>
              </w:rPr>
              <w:t>1</w:t>
            </w:r>
            <w:r w:rsidRPr="00614AA4">
              <w:rPr>
                <w:rFonts w:ascii="Garamond" w:hAnsi="Garamond"/>
                <w:b/>
                <w:bCs/>
                <w:sz w:val="26"/>
                <w:szCs w:val="26"/>
              </w:rPr>
              <w:t>. Rapid Assessment (incl. Commentary)</w:t>
            </w:r>
          </w:p>
          <w:p w:rsidR="00CF2994" w:rsidRPr="00614AA4" w:rsidRDefault="00CF2994" w:rsidP="00614AA4">
            <w:pPr>
              <w:autoSpaceDE w:val="0"/>
              <w:autoSpaceDN w:val="0"/>
              <w:adjustRightInd w:val="0"/>
              <w:jc w:val="both"/>
              <w:rPr>
                <w:rFonts w:ascii="Garamond" w:hAnsi="Garamond"/>
                <w:sz w:val="26"/>
                <w:szCs w:val="26"/>
              </w:rPr>
            </w:pPr>
            <w:r w:rsidRPr="00614AA4">
              <w:rPr>
                <w:rFonts w:ascii="Garamond" w:hAnsi="Garamond"/>
                <w:b/>
                <w:bCs/>
                <w:sz w:val="26"/>
                <w:szCs w:val="26"/>
              </w:rPr>
              <w:t xml:space="preserve">1.1 </w:t>
            </w:r>
            <w:r w:rsidRPr="00614AA4">
              <w:rPr>
                <w:rFonts w:ascii="Garamond" w:hAnsi="Garamond"/>
                <w:sz w:val="26"/>
                <w:szCs w:val="26"/>
              </w:rPr>
              <w:t>Review of existing documentation (EMV, IPS, Invest Jordan)</w:t>
            </w:r>
          </w:p>
          <w:p w:rsidR="00CF2994" w:rsidRPr="00614AA4" w:rsidRDefault="00CF2994" w:rsidP="00614AA4">
            <w:pPr>
              <w:pStyle w:val="ListParagraph"/>
              <w:numPr>
                <w:ilvl w:val="0"/>
                <w:numId w:val="21"/>
              </w:numPr>
              <w:jc w:val="both"/>
              <w:rPr>
                <w:rFonts w:ascii="Garamond" w:hAnsi="Garamond"/>
                <w:sz w:val="26"/>
                <w:szCs w:val="26"/>
              </w:rPr>
            </w:pPr>
            <w:r w:rsidRPr="00614AA4">
              <w:rPr>
                <w:rFonts w:ascii="Garamond" w:hAnsi="Garamond"/>
                <w:sz w:val="26"/>
                <w:szCs w:val="26"/>
              </w:rPr>
              <w:t>Review and consolidate the existing strategic documents and national strategies provided by the Ministry under the presumption of advancing Jordan’s investor ecosystem overall and in consideration of Jordan’s unique geographical position within a competitive regional market.</w:t>
            </w:r>
          </w:p>
          <w:p w:rsidR="00CF2994" w:rsidRPr="00614AA4" w:rsidRDefault="00CF2994" w:rsidP="00614AA4">
            <w:pPr>
              <w:pStyle w:val="ListParagraph"/>
              <w:numPr>
                <w:ilvl w:val="0"/>
                <w:numId w:val="21"/>
              </w:numPr>
              <w:jc w:val="both"/>
              <w:rPr>
                <w:rFonts w:ascii="Garamond" w:hAnsi="Garamond"/>
                <w:sz w:val="26"/>
                <w:szCs w:val="26"/>
              </w:rPr>
            </w:pPr>
            <w:r w:rsidRPr="00614AA4">
              <w:rPr>
                <w:rFonts w:ascii="Garamond" w:hAnsi="Garamond"/>
                <w:sz w:val="26"/>
                <w:szCs w:val="26"/>
              </w:rPr>
              <w:t>Conduct a analys</w:t>
            </w:r>
            <w:r w:rsidR="00FB5D90" w:rsidRPr="00614AA4">
              <w:rPr>
                <w:rFonts w:ascii="Garamond" w:hAnsi="Garamond"/>
                <w:sz w:val="26"/>
                <w:szCs w:val="26"/>
              </w:rPr>
              <w:t>es</w:t>
            </w:r>
            <w:r w:rsidRPr="00614AA4">
              <w:rPr>
                <w:rFonts w:ascii="Garamond" w:hAnsi="Garamond"/>
                <w:sz w:val="26"/>
                <w:szCs w:val="26"/>
              </w:rPr>
              <w:t xml:space="preserve"> (key milestones, sectors, initiatives, challenges, opportunities) of the relevant documents under the consideration of identifying Jordan’s strategic value proposition as an investment destination and also focusing on the future trajectory of Jordan’s investor ecosystem and certain bilateral economic accelerators (FTAs, BITs). </w:t>
            </w:r>
          </w:p>
          <w:p w:rsidR="00CF2994" w:rsidRPr="00614AA4" w:rsidRDefault="00970675" w:rsidP="00614AA4">
            <w:pPr>
              <w:pStyle w:val="ListParagraph"/>
              <w:numPr>
                <w:ilvl w:val="0"/>
                <w:numId w:val="21"/>
              </w:numPr>
              <w:jc w:val="both"/>
              <w:rPr>
                <w:rFonts w:ascii="Garamond" w:hAnsi="Garamond"/>
                <w:sz w:val="26"/>
                <w:szCs w:val="26"/>
              </w:rPr>
            </w:pPr>
            <w:r w:rsidRPr="00614AA4">
              <w:rPr>
                <w:rFonts w:ascii="Garamond" w:hAnsi="Garamond"/>
                <w:sz w:val="26"/>
                <w:szCs w:val="26"/>
              </w:rPr>
              <w:t>Map out all relevant stakeholders in the</w:t>
            </w:r>
            <w:r w:rsidR="00CF2994" w:rsidRPr="00614AA4">
              <w:rPr>
                <w:rFonts w:ascii="Garamond" w:hAnsi="Garamond"/>
                <w:sz w:val="26"/>
                <w:szCs w:val="26"/>
              </w:rPr>
              <w:t xml:space="preserve"> </w:t>
            </w:r>
            <w:r w:rsidRPr="00614AA4">
              <w:rPr>
                <w:rFonts w:ascii="Garamond" w:hAnsi="Garamond"/>
                <w:sz w:val="26"/>
                <w:szCs w:val="26"/>
              </w:rPr>
              <w:t xml:space="preserve">MOIN </w:t>
            </w:r>
            <w:r w:rsidR="00CF2994" w:rsidRPr="00614AA4">
              <w:rPr>
                <w:rFonts w:ascii="Garamond" w:hAnsi="Garamond"/>
                <w:sz w:val="26"/>
                <w:szCs w:val="26"/>
              </w:rPr>
              <w:t xml:space="preserve">investor journey to align </w:t>
            </w:r>
            <w:r w:rsidRPr="00614AA4">
              <w:rPr>
                <w:rFonts w:ascii="Garamond" w:hAnsi="Garamond"/>
                <w:sz w:val="26"/>
                <w:szCs w:val="26"/>
              </w:rPr>
              <w:t xml:space="preserve">targets, activities and tasks </w:t>
            </w:r>
            <w:r w:rsidR="00CF2994" w:rsidRPr="00614AA4">
              <w:rPr>
                <w:rFonts w:ascii="Garamond" w:hAnsi="Garamond"/>
                <w:sz w:val="26"/>
                <w:szCs w:val="26"/>
              </w:rPr>
              <w:t xml:space="preserve">with other government entities </w:t>
            </w:r>
            <w:r w:rsidRPr="00614AA4">
              <w:rPr>
                <w:rFonts w:ascii="Garamond" w:hAnsi="Garamond"/>
                <w:sz w:val="26"/>
                <w:szCs w:val="26"/>
              </w:rPr>
              <w:t xml:space="preserve">in </w:t>
            </w:r>
            <w:r w:rsidR="00CF2994" w:rsidRPr="00614AA4">
              <w:rPr>
                <w:rFonts w:ascii="Garamond" w:hAnsi="Garamond"/>
                <w:sz w:val="26"/>
                <w:szCs w:val="26"/>
              </w:rPr>
              <w:t xml:space="preserve">Jordan as well as </w:t>
            </w:r>
            <w:r w:rsidRPr="00614AA4">
              <w:rPr>
                <w:rFonts w:ascii="Garamond" w:hAnsi="Garamond"/>
                <w:sz w:val="26"/>
                <w:szCs w:val="26"/>
              </w:rPr>
              <w:t xml:space="preserve">relevant </w:t>
            </w:r>
            <w:r w:rsidR="00CF2994" w:rsidRPr="00614AA4">
              <w:rPr>
                <w:rFonts w:ascii="Garamond" w:hAnsi="Garamond"/>
                <w:sz w:val="26"/>
                <w:szCs w:val="26"/>
              </w:rPr>
              <w:t xml:space="preserve">semi-government and private sector entities </w:t>
            </w:r>
            <w:r w:rsidRPr="00614AA4">
              <w:rPr>
                <w:rFonts w:ascii="Garamond" w:hAnsi="Garamond"/>
                <w:sz w:val="26"/>
                <w:szCs w:val="26"/>
              </w:rPr>
              <w:t xml:space="preserve">who have a stake in </w:t>
            </w:r>
            <w:r w:rsidR="00CF2994" w:rsidRPr="00614AA4">
              <w:rPr>
                <w:rFonts w:ascii="Garamond" w:hAnsi="Garamond"/>
                <w:sz w:val="26"/>
                <w:szCs w:val="26"/>
              </w:rPr>
              <w:t>creat</w:t>
            </w:r>
            <w:r w:rsidRPr="00614AA4">
              <w:rPr>
                <w:rFonts w:ascii="Garamond" w:hAnsi="Garamond"/>
                <w:sz w:val="26"/>
                <w:szCs w:val="26"/>
              </w:rPr>
              <w:t>ing</w:t>
            </w:r>
            <w:r w:rsidR="00CF2994" w:rsidRPr="00614AA4">
              <w:rPr>
                <w:rFonts w:ascii="Garamond" w:hAnsi="Garamond"/>
                <w:sz w:val="26"/>
                <w:szCs w:val="26"/>
              </w:rPr>
              <w:t xml:space="preserve"> attractive conditions for investors and foster</w:t>
            </w:r>
            <w:r w:rsidRPr="00614AA4">
              <w:rPr>
                <w:rFonts w:ascii="Garamond" w:hAnsi="Garamond"/>
                <w:sz w:val="26"/>
                <w:szCs w:val="26"/>
              </w:rPr>
              <w:t>ing</w:t>
            </w:r>
            <w:r w:rsidR="00CF2994" w:rsidRPr="00614AA4">
              <w:rPr>
                <w:rFonts w:ascii="Garamond" w:hAnsi="Garamond"/>
                <w:sz w:val="26"/>
                <w:szCs w:val="26"/>
              </w:rPr>
              <w:t xml:space="preserve"> growth of the investor ecosystem. </w:t>
            </w:r>
            <w:r w:rsidRPr="00614AA4">
              <w:rPr>
                <w:rFonts w:ascii="Garamond" w:hAnsi="Garamond"/>
                <w:sz w:val="26"/>
                <w:szCs w:val="26"/>
              </w:rPr>
              <w:t>(</w:t>
            </w:r>
            <w:r w:rsidR="00CF2994" w:rsidRPr="00614AA4">
              <w:rPr>
                <w:rFonts w:ascii="Garamond" w:hAnsi="Garamond"/>
                <w:sz w:val="26"/>
                <w:szCs w:val="26"/>
              </w:rPr>
              <w:t>This includes the consideration of the current governance structure within the Ministry to identify any potential of improvement that would enable the mandate execution of MOIN considering the national strategies.</w:t>
            </w:r>
            <w:r w:rsidRPr="00614AA4">
              <w:rPr>
                <w:rFonts w:ascii="Garamond" w:hAnsi="Garamond"/>
                <w:sz w:val="26"/>
                <w:szCs w:val="26"/>
              </w:rPr>
              <w:t>)</w:t>
            </w:r>
          </w:p>
          <w:p w:rsidR="00CF2994" w:rsidRPr="00614AA4" w:rsidRDefault="00CF2994" w:rsidP="00614AA4">
            <w:pPr>
              <w:autoSpaceDE w:val="0"/>
              <w:autoSpaceDN w:val="0"/>
              <w:adjustRightInd w:val="0"/>
              <w:jc w:val="both"/>
              <w:rPr>
                <w:rFonts w:ascii="Garamond" w:hAnsi="Garamond"/>
                <w:b/>
                <w:bCs/>
                <w:sz w:val="26"/>
                <w:szCs w:val="26"/>
              </w:rPr>
            </w:pPr>
            <w:r w:rsidRPr="00614AA4">
              <w:rPr>
                <w:rFonts w:ascii="Garamond" w:hAnsi="Garamond"/>
                <w:b/>
                <w:bCs/>
                <w:sz w:val="26"/>
                <w:szCs w:val="26"/>
              </w:rPr>
              <w:t>1.2 Commentary</w:t>
            </w:r>
          </w:p>
          <w:p w:rsidR="00CF2994" w:rsidRPr="00614AA4" w:rsidRDefault="00CF2994" w:rsidP="00614AA4">
            <w:pPr>
              <w:ind w:left="360"/>
              <w:jc w:val="both"/>
              <w:rPr>
                <w:rFonts w:ascii="Garamond" w:hAnsi="Garamond"/>
                <w:sz w:val="26"/>
                <w:szCs w:val="26"/>
              </w:rPr>
            </w:pPr>
            <w:r w:rsidRPr="00614AA4">
              <w:rPr>
                <w:rFonts w:ascii="Garamond" w:hAnsi="Garamond"/>
                <w:sz w:val="26"/>
                <w:szCs w:val="26"/>
              </w:rPr>
              <w:t>Compile all findings and observations and provide clear commentary and recommendations on the identified challenges, opportunities and areas of improvement that will feed into a concept note, outlining a clear roadmap with initiatives, how Jordan could address the observations from the commentary to progress as an attractive location for foreign investors.</w:t>
            </w:r>
          </w:p>
          <w:p w:rsidR="00CF2994" w:rsidRPr="00614AA4" w:rsidRDefault="00CF2994" w:rsidP="00614AA4">
            <w:pPr>
              <w:jc w:val="center"/>
              <w:rPr>
                <w:rFonts w:ascii="Garamond" w:hAnsi="Garamond"/>
                <w:sz w:val="24"/>
                <w:szCs w:val="24"/>
              </w:rPr>
            </w:pPr>
          </w:p>
          <w:p w:rsidR="00C6361E" w:rsidRPr="00614AA4" w:rsidRDefault="00C6361E" w:rsidP="00614AA4">
            <w:pPr>
              <w:jc w:val="center"/>
              <w:rPr>
                <w:rFonts w:ascii="Garamond" w:hAnsi="Garamond"/>
                <w:sz w:val="24"/>
                <w:szCs w:val="24"/>
              </w:rPr>
            </w:pPr>
          </w:p>
          <w:p w:rsidR="00C6361E" w:rsidRPr="00614AA4" w:rsidRDefault="00C6361E" w:rsidP="00614AA4">
            <w:pPr>
              <w:jc w:val="center"/>
              <w:rPr>
                <w:rFonts w:ascii="Garamond" w:hAnsi="Garamond"/>
                <w:sz w:val="24"/>
                <w:szCs w:val="24"/>
              </w:rPr>
            </w:pPr>
          </w:p>
        </w:tc>
        <w:tc>
          <w:tcPr>
            <w:tcW w:w="1420" w:type="dxa"/>
          </w:tcPr>
          <w:p w:rsidR="00CF2994" w:rsidRPr="00614AA4" w:rsidRDefault="00F158BC" w:rsidP="00614AA4">
            <w:pPr>
              <w:jc w:val="center"/>
              <w:rPr>
                <w:rFonts w:ascii="Garamond" w:hAnsi="Garamond"/>
                <w:sz w:val="24"/>
                <w:szCs w:val="24"/>
              </w:rPr>
            </w:pPr>
            <w:r w:rsidRPr="00614AA4">
              <w:rPr>
                <w:rFonts w:ascii="Garamond" w:hAnsi="Garamond"/>
                <w:sz w:val="24"/>
                <w:szCs w:val="24"/>
              </w:rPr>
              <w:t>4</w:t>
            </w:r>
            <w:r w:rsidR="00CF2994" w:rsidRPr="00614AA4">
              <w:rPr>
                <w:rFonts w:ascii="Garamond" w:hAnsi="Garamond"/>
                <w:sz w:val="24"/>
                <w:szCs w:val="24"/>
              </w:rPr>
              <w:t xml:space="preserve"> weeks</w:t>
            </w:r>
          </w:p>
        </w:tc>
        <w:tc>
          <w:tcPr>
            <w:tcW w:w="1152" w:type="dxa"/>
          </w:tcPr>
          <w:p w:rsidR="00CF2994" w:rsidRPr="00614AA4" w:rsidRDefault="00CF2994" w:rsidP="00614AA4">
            <w:pPr>
              <w:jc w:val="center"/>
              <w:rPr>
                <w:rFonts w:ascii="Garamond" w:hAnsi="Garamond"/>
                <w:sz w:val="24"/>
                <w:szCs w:val="24"/>
              </w:rPr>
            </w:pPr>
          </w:p>
        </w:tc>
        <w:tc>
          <w:tcPr>
            <w:tcW w:w="1039" w:type="dxa"/>
          </w:tcPr>
          <w:p w:rsidR="00CF2994" w:rsidRPr="00614AA4" w:rsidRDefault="00CF2994" w:rsidP="00614AA4">
            <w:pPr>
              <w:jc w:val="center"/>
              <w:rPr>
                <w:rFonts w:ascii="Garamond" w:hAnsi="Garamond"/>
                <w:sz w:val="24"/>
                <w:szCs w:val="24"/>
              </w:rPr>
            </w:pPr>
            <w:r w:rsidRPr="00614AA4">
              <w:rPr>
                <w:rFonts w:ascii="Garamond" w:hAnsi="Garamond"/>
                <w:sz w:val="24"/>
                <w:szCs w:val="24"/>
              </w:rPr>
              <w:t>30%</w:t>
            </w:r>
          </w:p>
        </w:tc>
      </w:tr>
      <w:tr w:rsidR="00A2731B" w:rsidRPr="00614AA4" w:rsidTr="00614AA4">
        <w:trPr>
          <w:trHeight w:val="432"/>
        </w:trPr>
        <w:tc>
          <w:tcPr>
            <w:tcW w:w="6374" w:type="dxa"/>
            <w:vAlign w:val="center"/>
          </w:tcPr>
          <w:p w:rsidR="008C737E" w:rsidRPr="00614AA4" w:rsidRDefault="008C737E" w:rsidP="00614AA4">
            <w:pPr>
              <w:autoSpaceDE w:val="0"/>
              <w:autoSpaceDN w:val="0"/>
              <w:adjustRightInd w:val="0"/>
              <w:jc w:val="both"/>
              <w:rPr>
                <w:rFonts w:ascii="Garamond" w:hAnsi="Garamond"/>
                <w:b/>
                <w:bCs/>
                <w:sz w:val="28"/>
                <w:szCs w:val="28"/>
              </w:rPr>
            </w:pPr>
            <w:r w:rsidRPr="00614AA4">
              <w:rPr>
                <w:rFonts w:cs="Arial-BoldMT"/>
                <w:b/>
                <w:bCs/>
                <w:sz w:val="26"/>
                <w:szCs w:val="26"/>
              </w:rPr>
              <w:t xml:space="preserve">2 </w:t>
            </w:r>
            <w:r w:rsidR="00C6361E" w:rsidRPr="00614AA4">
              <w:rPr>
                <w:rFonts w:cs="Arial-BoldMT"/>
                <w:b/>
                <w:bCs/>
                <w:sz w:val="26"/>
                <w:szCs w:val="26"/>
              </w:rPr>
              <w:t>-</w:t>
            </w:r>
            <w:r w:rsidRPr="00614AA4">
              <w:rPr>
                <w:rFonts w:ascii="Garamond" w:hAnsi="Garamond"/>
                <w:b/>
                <w:bCs/>
                <w:sz w:val="28"/>
                <w:szCs w:val="28"/>
              </w:rPr>
              <w:t>Concept Note</w:t>
            </w:r>
          </w:p>
          <w:p w:rsidR="008C737E" w:rsidRPr="00614AA4" w:rsidRDefault="008C737E" w:rsidP="00614AA4">
            <w:pPr>
              <w:autoSpaceDE w:val="0"/>
              <w:autoSpaceDN w:val="0"/>
              <w:adjustRightInd w:val="0"/>
              <w:jc w:val="both"/>
              <w:rPr>
                <w:rFonts w:ascii="Garamond" w:hAnsi="Garamond"/>
                <w:b/>
                <w:bCs/>
                <w:sz w:val="26"/>
                <w:szCs w:val="26"/>
              </w:rPr>
            </w:pPr>
            <w:r w:rsidRPr="00614AA4">
              <w:rPr>
                <w:rFonts w:ascii="Garamond" w:hAnsi="Garamond"/>
                <w:b/>
                <w:bCs/>
                <w:sz w:val="26"/>
                <w:szCs w:val="26"/>
              </w:rPr>
              <w:t xml:space="preserve">2.1 </w:t>
            </w:r>
            <w:r w:rsidRPr="00614AA4">
              <w:rPr>
                <w:rFonts w:ascii="Garamond" w:hAnsi="Garamond"/>
                <w:sz w:val="26"/>
                <w:szCs w:val="26"/>
              </w:rPr>
              <w:t>Foundational Principles</w:t>
            </w:r>
          </w:p>
          <w:p w:rsidR="008C737E" w:rsidRPr="00614AA4" w:rsidRDefault="008C737E" w:rsidP="00614AA4">
            <w:pPr>
              <w:ind w:left="360"/>
              <w:jc w:val="both"/>
              <w:rPr>
                <w:rFonts w:ascii="Garamond" w:hAnsi="Garamond"/>
                <w:sz w:val="26"/>
                <w:szCs w:val="26"/>
              </w:rPr>
            </w:pPr>
            <w:r w:rsidRPr="00614AA4">
              <w:rPr>
                <w:rFonts w:ascii="Garamond" w:hAnsi="Garamond"/>
                <w:sz w:val="26"/>
                <w:szCs w:val="26"/>
              </w:rPr>
              <w:t>Based on the study of existing economic visions and national strategies, drafting a general strategic direction and main objectives, which a full National Investment Roadmap for Jordan could achieve and outline how this roadmap would complement the existing documents.</w:t>
            </w:r>
          </w:p>
          <w:p w:rsidR="008C737E" w:rsidRPr="00614AA4" w:rsidRDefault="008C737E" w:rsidP="00614AA4">
            <w:pPr>
              <w:autoSpaceDE w:val="0"/>
              <w:autoSpaceDN w:val="0"/>
              <w:adjustRightInd w:val="0"/>
              <w:jc w:val="both"/>
              <w:rPr>
                <w:rFonts w:ascii="Garamond" w:hAnsi="Garamond"/>
                <w:b/>
                <w:bCs/>
                <w:sz w:val="26"/>
                <w:szCs w:val="26"/>
              </w:rPr>
            </w:pPr>
            <w:r w:rsidRPr="00614AA4">
              <w:rPr>
                <w:rFonts w:ascii="Garamond" w:hAnsi="Garamond"/>
                <w:b/>
                <w:bCs/>
                <w:sz w:val="26"/>
                <w:szCs w:val="26"/>
              </w:rPr>
              <w:t xml:space="preserve">2.2 </w:t>
            </w:r>
            <w:r w:rsidRPr="00614AA4">
              <w:rPr>
                <w:rFonts w:ascii="Garamond" w:hAnsi="Garamond"/>
                <w:sz w:val="26"/>
                <w:szCs w:val="26"/>
              </w:rPr>
              <w:t>List of Strategic Initiatives and Recommendations</w:t>
            </w:r>
          </w:p>
          <w:p w:rsidR="008C737E" w:rsidRPr="00614AA4" w:rsidRDefault="008C737E" w:rsidP="00614AA4">
            <w:pPr>
              <w:ind w:left="360"/>
              <w:jc w:val="both"/>
              <w:rPr>
                <w:rFonts w:ascii="Garamond" w:hAnsi="Garamond"/>
                <w:sz w:val="26"/>
                <w:szCs w:val="26"/>
              </w:rPr>
            </w:pPr>
            <w:r w:rsidRPr="00614AA4">
              <w:rPr>
                <w:rFonts w:ascii="Garamond" w:hAnsi="Garamond"/>
                <w:sz w:val="26"/>
                <w:szCs w:val="26"/>
              </w:rPr>
              <w:t>Develop a list of strategic initiatives and recommendations that will enable Jordan to implement regional and global best practice in terms of investment promotion and investment attraction and serves the Ministry of Investment as a baseline to develop a National Investment Roadmap.</w:t>
            </w:r>
          </w:p>
          <w:p w:rsidR="008C737E" w:rsidRPr="00614AA4" w:rsidRDefault="008C737E" w:rsidP="00614AA4">
            <w:pPr>
              <w:ind w:left="360"/>
              <w:jc w:val="both"/>
              <w:rPr>
                <w:rFonts w:ascii="Garamond" w:hAnsi="Garamond"/>
                <w:sz w:val="26"/>
                <w:szCs w:val="26"/>
              </w:rPr>
            </w:pPr>
            <w:r w:rsidRPr="00614AA4">
              <w:rPr>
                <w:rFonts w:ascii="Garamond" w:hAnsi="Garamond"/>
                <w:sz w:val="26"/>
                <w:szCs w:val="26"/>
              </w:rPr>
              <w:t>Initiatives to be in line and focus on specific areas of relevance, which are:</w:t>
            </w:r>
          </w:p>
          <w:p w:rsidR="008C737E" w:rsidRPr="00614AA4" w:rsidRDefault="008C737E" w:rsidP="00614AA4">
            <w:pPr>
              <w:pStyle w:val="ListParagraph"/>
              <w:numPr>
                <w:ilvl w:val="0"/>
                <w:numId w:val="22"/>
              </w:numPr>
              <w:jc w:val="both"/>
              <w:rPr>
                <w:rFonts w:ascii="Garamond" w:hAnsi="Garamond"/>
                <w:sz w:val="26"/>
                <w:szCs w:val="26"/>
              </w:rPr>
            </w:pPr>
            <w:r w:rsidRPr="00614AA4">
              <w:rPr>
                <w:rFonts w:ascii="Garamond" w:hAnsi="Garamond"/>
                <w:sz w:val="26"/>
                <w:szCs w:val="26"/>
              </w:rPr>
              <w:t>Investor ecosystem readiness and geographical location</w:t>
            </w:r>
          </w:p>
          <w:p w:rsidR="008C737E" w:rsidRPr="00614AA4" w:rsidRDefault="008C737E" w:rsidP="00614AA4">
            <w:pPr>
              <w:pStyle w:val="ListParagraph"/>
              <w:numPr>
                <w:ilvl w:val="0"/>
                <w:numId w:val="22"/>
              </w:numPr>
              <w:jc w:val="both"/>
              <w:rPr>
                <w:rFonts w:ascii="Garamond" w:hAnsi="Garamond"/>
                <w:sz w:val="26"/>
                <w:szCs w:val="26"/>
              </w:rPr>
            </w:pPr>
            <w:r w:rsidRPr="00614AA4">
              <w:rPr>
                <w:rFonts w:ascii="Garamond" w:hAnsi="Garamond"/>
                <w:sz w:val="26"/>
                <w:szCs w:val="26"/>
              </w:rPr>
              <w:t>Identified priority sectors and individual sector potential to attract investment.</w:t>
            </w:r>
          </w:p>
          <w:p w:rsidR="008C737E" w:rsidRPr="00614AA4" w:rsidRDefault="008C737E" w:rsidP="00614AA4">
            <w:pPr>
              <w:pStyle w:val="ListParagraph"/>
              <w:numPr>
                <w:ilvl w:val="0"/>
                <w:numId w:val="22"/>
              </w:numPr>
              <w:jc w:val="both"/>
              <w:rPr>
                <w:rFonts w:ascii="Garamond" w:hAnsi="Garamond"/>
                <w:sz w:val="26"/>
                <w:szCs w:val="26"/>
              </w:rPr>
            </w:pPr>
            <w:r w:rsidRPr="00614AA4">
              <w:rPr>
                <w:rFonts w:ascii="Garamond" w:hAnsi="Garamond"/>
                <w:sz w:val="26"/>
                <w:szCs w:val="26"/>
              </w:rPr>
              <w:t>Partnerships and joint efforts to attract investments (bilateral partnerships, IPA network)</w:t>
            </w:r>
          </w:p>
          <w:p w:rsidR="008C737E" w:rsidRPr="00614AA4" w:rsidRDefault="008C737E" w:rsidP="00614AA4">
            <w:pPr>
              <w:pStyle w:val="ListParagraph"/>
              <w:numPr>
                <w:ilvl w:val="0"/>
                <w:numId w:val="22"/>
              </w:numPr>
              <w:jc w:val="both"/>
              <w:rPr>
                <w:rFonts w:ascii="Garamond" w:hAnsi="Garamond"/>
                <w:sz w:val="26"/>
                <w:szCs w:val="26"/>
              </w:rPr>
            </w:pPr>
            <w:r w:rsidRPr="00614AA4">
              <w:rPr>
                <w:rFonts w:ascii="Garamond" w:hAnsi="Garamond"/>
                <w:sz w:val="26"/>
                <w:szCs w:val="26"/>
              </w:rPr>
              <w:t>Overall perception and reputation of Jordan as a destination for investment</w:t>
            </w:r>
          </w:p>
          <w:p w:rsidR="008C737E" w:rsidRPr="00614AA4" w:rsidRDefault="008C737E" w:rsidP="00614AA4">
            <w:pPr>
              <w:pStyle w:val="ListParagraph"/>
              <w:numPr>
                <w:ilvl w:val="0"/>
                <w:numId w:val="22"/>
              </w:numPr>
              <w:jc w:val="both"/>
              <w:rPr>
                <w:rFonts w:ascii="Garamond" w:hAnsi="Garamond"/>
                <w:sz w:val="26"/>
                <w:szCs w:val="26"/>
              </w:rPr>
            </w:pPr>
            <w:r w:rsidRPr="00614AA4">
              <w:rPr>
                <w:rFonts w:ascii="Garamond" w:hAnsi="Garamond"/>
                <w:sz w:val="26"/>
                <w:szCs w:val="26"/>
              </w:rPr>
              <w:t>Current and future incentivization of investor</w:t>
            </w:r>
          </w:p>
          <w:p w:rsidR="008C737E" w:rsidRPr="00614AA4" w:rsidRDefault="008C737E" w:rsidP="00614AA4">
            <w:pPr>
              <w:pStyle w:val="ListParagraph"/>
              <w:numPr>
                <w:ilvl w:val="0"/>
                <w:numId w:val="22"/>
              </w:numPr>
              <w:jc w:val="both"/>
              <w:rPr>
                <w:rFonts w:ascii="Garamond" w:hAnsi="Garamond"/>
                <w:sz w:val="26"/>
                <w:szCs w:val="26"/>
              </w:rPr>
            </w:pPr>
            <w:r w:rsidRPr="00614AA4">
              <w:rPr>
                <w:rFonts w:ascii="Garamond" w:hAnsi="Garamond"/>
                <w:sz w:val="26"/>
                <w:szCs w:val="26"/>
              </w:rPr>
              <w:t>Maturity of investor services and role of the Ministry of Investment</w:t>
            </w:r>
          </w:p>
          <w:p w:rsidR="008C737E" w:rsidRPr="00614AA4" w:rsidRDefault="008C737E" w:rsidP="00614AA4">
            <w:pPr>
              <w:ind w:left="360"/>
              <w:jc w:val="both"/>
              <w:rPr>
                <w:rFonts w:ascii="Garamond" w:hAnsi="Garamond"/>
                <w:sz w:val="24"/>
                <w:szCs w:val="24"/>
              </w:rPr>
            </w:pPr>
            <w:r w:rsidRPr="00614AA4">
              <w:rPr>
                <w:rFonts w:ascii="Garamond" w:hAnsi="Garamond"/>
                <w:b/>
                <w:bCs/>
                <w:sz w:val="26"/>
                <w:szCs w:val="26"/>
              </w:rPr>
              <w:t>.</w:t>
            </w:r>
          </w:p>
        </w:tc>
        <w:tc>
          <w:tcPr>
            <w:tcW w:w="1420" w:type="dxa"/>
          </w:tcPr>
          <w:p w:rsidR="008C737E" w:rsidRPr="00614AA4" w:rsidRDefault="001429A0" w:rsidP="00614AA4">
            <w:pPr>
              <w:jc w:val="center"/>
              <w:rPr>
                <w:rFonts w:ascii="Garamond" w:hAnsi="Garamond"/>
                <w:sz w:val="24"/>
                <w:szCs w:val="24"/>
              </w:rPr>
            </w:pPr>
            <w:r w:rsidRPr="00614AA4">
              <w:rPr>
                <w:rFonts w:ascii="Garamond" w:hAnsi="Garamond"/>
                <w:sz w:val="24"/>
                <w:szCs w:val="24"/>
              </w:rPr>
              <w:t xml:space="preserve">3 </w:t>
            </w:r>
            <w:r w:rsidR="008C737E" w:rsidRPr="00614AA4">
              <w:rPr>
                <w:rFonts w:ascii="Garamond" w:hAnsi="Garamond"/>
                <w:sz w:val="24"/>
                <w:szCs w:val="24"/>
              </w:rPr>
              <w:t>weeks</w:t>
            </w:r>
          </w:p>
        </w:tc>
        <w:tc>
          <w:tcPr>
            <w:tcW w:w="1152" w:type="dxa"/>
          </w:tcPr>
          <w:p w:rsidR="008C737E" w:rsidRPr="00614AA4" w:rsidRDefault="008C737E" w:rsidP="00614AA4">
            <w:pPr>
              <w:jc w:val="center"/>
              <w:rPr>
                <w:rFonts w:ascii="Garamond" w:hAnsi="Garamond"/>
                <w:sz w:val="24"/>
                <w:szCs w:val="24"/>
              </w:rPr>
            </w:pPr>
          </w:p>
        </w:tc>
        <w:tc>
          <w:tcPr>
            <w:tcW w:w="1039" w:type="dxa"/>
          </w:tcPr>
          <w:p w:rsidR="008C737E" w:rsidRPr="00614AA4" w:rsidRDefault="001429A0" w:rsidP="00614AA4">
            <w:pPr>
              <w:jc w:val="center"/>
              <w:rPr>
                <w:rFonts w:ascii="Garamond" w:hAnsi="Garamond"/>
                <w:sz w:val="24"/>
                <w:szCs w:val="24"/>
              </w:rPr>
            </w:pPr>
            <w:r w:rsidRPr="00614AA4">
              <w:rPr>
                <w:rFonts w:ascii="Garamond" w:hAnsi="Garamond"/>
                <w:sz w:val="24"/>
                <w:szCs w:val="24"/>
              </w:rPr>
              <w:t>30</w:t>
            </w:r>
            <w:r w:rsidR="008C737E" w:rsidRPr="00614AA4">
              <w:rPr>
                <w:rFonts w:ascii="Garamond" w:hAnsi="Garamond"/>
                <w:sz w:val="24"/>
                <w:szCs w:val="24"/>
              </w:rPr>
              <w:t>%</w:t>
            </w:r>
          </w:p>
        </w:tc>
      </w:tr>
      <w:tr w:rsidR="002455DD" w:rsidRPr="00614AA4" w:rsidTr="00614AA4">
        <w:trPr>
          <w:trHeight w:val="442"/>
        </w:trPr>
        <w:tc>
          <w:tcPr>
            <w:tcW w:w="6374" w:type="dxa"/>
          </w:tcPr>
          <w:p w:rsidR="002455DD" w:rsidRPr="00614AA4" w:rsidRDefault="00300723" w:rsidP="00614AA4">
            <w:pPr>
              <w:autoSpaceDE w:val="0"/>
              <w:autoSpaceDN w:val="0"/>
              <w:adjustRightInd w:val="0"/>
              <w:jc w:val="both"/>
              <w:rPr>
                <w:rFonts w:ascii="Garamond" w:hAnsi="Garamond"/>
                <w:sz w:val="26"/>
                <w:szCs w:val="26"/>
              </w:rPr>
            </w:pPr>
            <w:r>
              <w:rPr>
                <w:rFonts w:ascii="Garamond" w:hAnsi="Garamond"/>
                <w:b/>
                <w:bCs/>
                <w:sz w:val="26"/>
                <w:szCs w:val="26"/>
              </w:rPr>
              <w:t>2.3</w:t>
            </w:r>
            <w:r w:rsidR="002455DD" w:rsidRPr="00614AA4">
              <w:rPr>
                <w:rFonts w:ascii="Garamond" w:hAnsi="Garamond"/>
                <w:b/>
                <w:bCs/>
                <w:sz w:val="26"/>
                <w:szCs w:val="26"/>
              </w:rPr>
              <w:t xml:space="preserve"> </w:t>
            </w:r>
            <w:r w:rsidR="002455DD" w:rsidRPr="00614AA4">
              <w:rPr>
                <w:rFonts w:ascii="Garamond" w:hAnsi="Garamond"/>
                <w:sz w:val="26"/>
                <w:szCs w:val="26"/>
              </w:rPr>
              <w:t>Directional Paper</w:t>
            </w:r>
            <w:r w:rsidR="00880E78" w:rsidRPr="00614AA4">
              <w:rPr>
                <w:rFonts w:ascii="Garamond" w:hAnsi="Garamond"/>
                <w:sz w:val="26"/>
                <w:szCs w:val="26"/>
              </w:rPr>
              <w:t xml:space="preserve"> </w:t>
            </w:r>
            <w:r w:rsidR="002455DD" w:rsidRPr="00614AA4">
              <w:rPr>
                <w:rFonts w:ascii="Garamond" w:hAnsi="Garamond"/>
                <w:sz w:val="26"/>
                <w:szCs w:val="26"/>
              </w:rPr>
              <w:t>that provides the Ministry with an indication on the timeline, key decision points and implementation steps to successfully roll-out the strategic initiatives that are recommended as part of the Concept Note and provide an indication of the potential impact of these initiatives.</w:t>
            </w:r>
            <w:r w:rsidR="00970675" w:rsidRPr="00614AA4">
              <w:rPr>
                <w:rFonts w:ascii="Garamond" w:hAnsi="Garamond"/>
                <w:sz w:val="26"/>
                <w:szCs w:val="26"/>
              </w:rPr>
              <w:t xml:space="preserve"> This </w:t>
            </w:r>
            <w:r w:rsidR="00614AA4" w:rsidRPr="00614AA4">
              <w:rPr>
                <w:rFonts w:ascii="Garamond" w:hAnsi="Garamond"/>
                <w:sz w:val="26"/>
                <w:szCs w:val="26"/>
              </w:rPr>
              <w:t>deliverable</w:t>
            </w:r>
            <w:r w:rsidR="00970675" w:rsidRPr="00614AA4">
              <w:rPr>
                <w:rFonts w:ascii="Garamond" w:hAnsi="Garamond"/>
                <w:sz w:val="26"/>
                <w:szCs w:val="26"/>
              </w:rPr>
              <w:t xml:space="preserve"> will help MOIN address the strategic gap in the timeframe between 2027 and 2033, to ensure alignment with the EMV.</w:t>
            </w:r>
          </w:p>
          <w:p w:rsidR="002455DD" w:rsidRPr="00614AA4" w:rsidRDefault="002455DD" w:rsidP="00614AA4">
            <w:pPr>
              <w:autoSpaceDE w:val="0"/>
              <w:autoSpaceDN w:val="0"/>
              <w:adjustRightInd w:val="0"/>
              <w:jc w:val="both"/>
              <w:rPr>
                <w:rFonts w:ascii="Garamond" w:hAnsi="Garamond"/>
                <w:sz w:val="28"/>
                <w:szCs w:val="28"/>
              </w:rPr>
            </w:pPr>
          </w:p>
        </w:tc>
        <w:tc>
          <w:tcPr>
            <w:tcW w:w="1420" w:type="dxa"/>
          </w:tcPr>
          <w:p w:rsidR="002455DD" w:rsidRPr="00614AA4" w:rsidRDefault="001429A0" w:rsidP="00614AA4">
            <w:pPr>
              <w:jc w:val="center"/>
              <w:rPr>
                <w:rFonts w:ascii="Garamond" w:hAnsi="Garamond"/>
                <w:sz w:val="24"/>
                <w:szCs w:val="24"/>
              </w:rPr>
            </w:pPr>
            <w:r w:rsidRPr="00614AA4">
              <w:rPr>
                <w:rFonts w:ascii="Garamond" w:hAnsi="Garamond"/>
                <w:sz w:val="24"/>
                <w:szCs w:val="24"/>
              </w:rPr>
              <w:t>1 week</w:t>
            </w:r>
          </w:p>
        </w:tc>
        <w:tc>
          <w:tcPr>
            <w:tcW w:w="1152" w:type="dxa"/>
          </w:tcPr>
          <w:p w:rsidR="002455DD" w:rsidRPr="00614AA4" w:rsidRDefault="002455DD" w:rsidP="00614AA4">
            <w:pPr>
              <w:jc w:val="center"/>
              <w:rPr>
                <w:rFonts w:ascii="Garamond" w:hAnsi="Garamond"/>
                <w:sz w:val="24"/>
                <w:szCs w:val="24"/>
              </w:rPr>
            </w:pPr>
          </w:p>
        </w:tc>
        <w:tc>
          <w:tcPr>
            <w:tcW w:w="1039" w:type="dxa"/>
          </w:tcPr>
          <w:p w:rsidR="002455DD" w:rsidRPr="00614AA4" w:rsidRDefault="001429A0" w:rsidP="00614AA4">
            <w:pPr>
              <w:jc w:val="center"/>
              <w:rPr>
                <w:rFonts w:ascii="Garamond" w:hAnsi="Garamond"/>
                <w:sz w:val="24"/>
                <w:szCs w:val="24"/>
              </w:rPr>
            </w:pPr>
            <w:r w:rsidRPr="00614AA4">
              <w:rPr>
                <w:rFonts w:ascii="Garamond" w:hAnsi="Garamond"/>
                <w:sz w:val="24"/>
                <w:szCs w:val="24"/>
              </w:rPr>
              <w:t>10%</w:t>
            </w:r>
          </w:p>
        </w:tc>
      </w:tr>
      <w:tr w:rsidR="00A2731B" w:rsidRPr="00614AA4" w:rsidTr="00614AA4">
        <w:trPr>
          <w:trHeight w:val="442"/>
        </w:trPr>
        <w:tc>
          <w:tcPr>
            <w:tcW w:w="6374" w:type="dxa"/>
          </w:tcPr>
          <w:p w:rsidR="00A2731B" w:rsidRPr="00614AA4" w:rsidRDefault="00A2731B" w:rsidP="00614AA4">
            <w:pPr>
              <w:autoSpaceDE w:val="0"/>
              <w:autoSpaceDN w:val="0"/>
              <w:adjustRightInd w:val="0"/>
              <w:jc w:val="both"/>
              <w:rPr>
                <w:rFonts w:ascii="Garamond" w:hAnsi="Garamond"/>
                <w:sz w:val="28"/>
                <w:szCs w:val="28"/>
              </w:rPr>
            </w:pPr>
            <w:r w:rsidRPr="00614AA4">
              <w:rPr>
                <w:rFonts w:ascii="Garamond" w:hAnsi="Garamond"/>
                <w:sz w:val="28"/>
                <w:szCs w:val="28"/>
              </w:rPr>
              <w:t xml:space="preserve">3 </w:t>
            </w:r>
            <w:r w:rsidR="00C6361E" w:rsidRPr="00614AA4">
              <w:rPr>
                <w:rFonts w:ascii="Garamond" w:hAnsi="Garamond"/>
                <w:sz w:val="28"/>
                <w:szCs w:val="28"/>
              </w:rPr>
              <w:t xml:space="preserve">- </w:t>
            </w:r>
            <w:r w:rsidRPr="00614AA4">
              <w:rPr>
                <w:rFonts w:ascii="Garamond" w:hAnsi="Garamond"/>
                <w:b/>
                <w:bCs/>
                <w:sz w:val="26"/>
                <w:szCs w:val="26"/>
              </w:rPr>
              <w:t>Executive Presentation</w:t>
            </w:r>
          </w:p>
          <w:p w:rsidR="00A2731B" w:rsidRPr="00614AA4" w:rsidRDefault="00A2731B" w:rsidP="00614AA4">
            <w:pPr>
              <w:ind w:left="360"/>
              <w:jc w:val="both"/>
              <w:rPr>
                <w:rFonts w:ascii="Garamond" w:hAnsi="Garamond"/>
                <w:sz w:val="26"/>
                <w:szCs w:val="26"/>
              </w:rPr>
            </w:pPr>
            <w:r w:rsidRPr="00614AA4">
              <w:rPr>
                <w:rFonts w:ascii="Garamond" w:hAnsi="Garamond"/>
                <w:sz w:val="26"/>
                <w:szCs w:val="26"/>
              </w:rPr>
              <w:t>Create the final executive presentation, which includes a summary of the commentary, concept note and directional paper to drive the discussions on the National Investment Roadmap, support the Ministry in their decision-making processes and to brief the leadership on the outcomes of this engagement.</w:t>
            </w:r>
          </w:p>
          <w:p w:rsidR="00A2731B" w:rsidRPr="00614AA4" w:rsidRDefault="00A2731B" w:rsidP="00614AA4">
            <w:pPr>
              <w:jc w:val="center"/>
              <w:rPr>
                <w:rFonts w:ascii="Garamond" w:hAnsi="Garamond"/>
                <w:sz w:val="24"/>
                <w:szCs w:val="24"/>
              </w:rPr>
            </w:pPr>
          </w:p>
          <w:p w:rsidR="00A2731B" w:rsidRPr="00614AA4" w:rsidRDefault="00A2731B" w:rsidP="00614AA4">
            <w:pPr>
              <w:jc w:val="center"/>
              <w:rPr>
                <w:rFonts w:ascii="Garamond" w:hAnsi="Garamond"/>
                <w:sz w:val="24"/>
                <w:szCs w:val="24"/>
              </w:rPr>
            </w:pPr>
          </w:p>
        </w:tc>
        <w:tc>
          <w:tcPr>
            <w:tcW w:w="1420" w:type="dxa"/>
          </w:tcPr>
          <w:p w:rsidR="008C737E" w:rsidRPr="00614AA4" w:rsidRDefault="008F12A4" w:rsidP="00614AA4">
            <w:pPr>
              <w:jc w:val="center"/>
              <w:rPr>
                <w:rFonts w:ascii="Garamond" w:hAnsi="Garamond"/>
                <w:sz w:val="24"/>
                <w:szCs w:val="24"/>
              </w:rPr>
            </w:pPr>
            <w:r w:rsidRPr="00614AA4">
              <w:rPr>
                <w:rFonts w:ascii="Garamond" w:hAnsi="Garamond"/>
                <w:sz w:val="24"/>
                <w:szCs w:val="24"/>
              </w:rPr>
              <w:t>4</w:t>
            </w:r>
            <w:r w:rsidR="008C737E" w:rsidRPr="00614AA4">
              <w:rPr>
                <w:rFonts w:ascii="Garamond" w:hAnsi="Garamond"/>
                <w:sz w:val="24"/>
                <w:szCs w:val="24"/>
              </w:rPr>
              <w:t xml:space="preserve"> weeks</w:t>
            </w:r>
          </w:p>
        </w:tc>
        <w:tc>
          <w:tcPr>
            <w:tcW w:w="1152" w:type="dxa"/>
          </w:tcPr>
          <w:p w:rsidR="008C737E" w:rsidRPr="00614AA4" w:rsidRDefault="008C737E" w:rsidP="00614AA4">
            <w:pPr>
              <w:jc w:val="center"/>
              <w:rPr>
                <w:rFonts w:ascii="Garamond" w:hAnsi="Garamond"/>
                <w:sz w:val="24"/>
                <w:szCs w:val="24"/>
              </w:rPr>
            </w:pPr>
          </w:p>
        </w:tc>
        <w:tc>
          <w:tcPr>
            <w:tcW w:w="1039" w:type="dxa"/>
          </w:tcPr>
          <w:p w:rsidR="008C737E" w:rsidRPr="00614AA4" w:rsidRDefault="008C737E" w:rsidP="00614AA4">
            <w:pPr>
              <w:jc w:val="center"/>
              <w:rPr>
                <w:rFonts w:ascii="Garamond" w:hAnsi="Garamond"/>
                <w:sz w:val="24"/>
                <w:szCs w:val="24"/>
              </w:rPr>
            </w:pPr>
            <w:r w:rsidRPr="00614AA4">
              <w:rPr>
                <w:rFonts w:ascii="Garamond" w:hAnsi="Garamond"/>
                <w:sz w:val="24"/>
                <w:szCs w:val="24"/>
              </w:rPr>
              <w:t>30%</w:t>
            </w:r>
          </w:p>
        </w:tc>
      </w:tr>
    </w:tbl>
    <w:p w:rsidR="004360D9" w:rsidRPr="00614AA4" w:rsidRDefault="00614AA4" w:rsidP="004360D9">
      <w:pPr>
        <w:pStyle w:val="ListParagraph"/>
        <w:tabs>
          <w:tab w:val="left" w:pos="360"/>
        </w:tabs>
        <w:jc w:val="both"/>
        <w:rPr>
          <w:rFonts w:eastAsia="ArialMT" w:cs="ArialMT"/>
          <w:b/>
          <w:bCs/>
          <w:sz w:val="26"/>
          <w:szCs w:val="26"/>
        </w:rPr>
      </w:pPr>
      <w:r w:rsidRPr="00614AA4">
        <w:rPr>
          <w:rFonts w:eastAsia="ArialMT" w:cs="ArialMT"/>
          <w:b/>
          <w:bCs/>
          <w:sz w:val="26"/>
          <w:szCs w:val="26"/>
        </w:rPr>
        <w:br w:type="textWrapping" w:clear="all"/>
      </w:r>
    </w:p>
    <w:p w:rsidR="00E35025" w:rsidRPr="00614AA4" w:rsidRDefault="00E35025" w:rsidP="006964B3">
      <w:pPr>
        <w:ind w:left="360"/>
        <w:jc w:val="both"/>
        <w:rPr>
          <w:rFonts w:ascii="Garamond" w:hAnsi="Garamond"/>
          <w:sz w:val="26"/>
          <w:szCs w:val="26"/>
        </w:rPr>
      </w:pPr>
      <w:r w:rsidRPr="00614AA4">
        <w:rPr>
          <w:rFonts w:ascii="Garamond" w:hAnsi="Garamond"/>
          <w:sz w:val="26"/>
          <w:szCs w:val="26"/>
        </w:rPr>
        <w:t>In addition, the Consultant shall submit brief monthly progress reports on the progress of the implementation of the services outlined in this T</w:t>
      </w:r>
      <w:r w:rsidR="00B70D5B" w:rsidRPr="00614AA4">
        <w:rPr>
          <w:rFonts w:ascii="Garamond" w:hAnsi="Garamond"/>
          <w:sz w:val="26"/>
          <w:szCs w:val="26"/>
        </w:rPr>
        <w:t>O</w:t>
      </w:r>
      <w:r w:rsidRPr="00614AA4">
        <w:rPr>
          <w:rFonts w:ascii="Garamond" w:hAnsi="Garamond"/>
          <w:sz w:val="26"/>
          <w:szCs w:val="26"/>
        </w:rPr>
        <w:t xml:space="preserve">R to MOIN, which shall contain information on the state of advancement and time schedule as well as cost and financing. Special regards shall be given to current problems and the systemic reasons for deviations from time and cost schedules. The reports shall contain all circumstances that might jeopardize the achievement of the project overall objective and purpose or progress of its implementation. It should include detailed suggestions for measures to be undertaken by the Consultant, the Client, or other stakeholders for rectification. </w:t>
      </w:r>
    </w:p>
    <w:p w:rsidR="004360D9" w:rsidRPr="00614AA4" w:rsidRDefault="004360D9" w:rsidP="004360D9">
      <w:pPr>
        <w:pStyle w:val="ListParagraph"/>
        <w:tabs>
          <w:tab w:val="left" w:pos="360"/>
        </w:tabs>
        <w:jc w:val="both"/>
        <w:rPr>
          <w:rFonts w:eastAsia="ArialMT" w:cs="ArialMT"/>
          <w:b/>
          <w:bCs/>
          <w:sz w:val="26"/>
          <w:szCs w:val="26"/>
        </w:rPr>
      </w:pPr>
    </w:p>
    <w:p w:rsidR="002A4DF0" w:rsidRPr="00614AA4" w:rsidRDefault="002A4DF0" w:rsidP="004360D9">
      <w:pPr>
        <w:pStyle w:val="ListParagraph"/>
        <w:tabs>
          <w:tab w:val="left" w:pos="360"/>
        </w:tabs>
        <w:jc w:val="both"/>
        <w:rPr>
          <w:rFonts w:eastAsia="ArialMT" w:cs="ArialMT"/>
          <w:b/>
          <w:bCs/>
          <w:sz w:val="26"/>
          <w:szCs w:val="26"/>
        </w:rPr>
      </w:pPr>
    </w:p>
    <w:p w:rsidR="007A273C" w:rsidRPr="00614AA4" w:rsidRDefault="007A273C" w:rsidP="00C61224">
      <w:pPr>
        <w:pStyle w:val="ListParagraph"/>
        <w:numPr>
          <w:ilvl w:val="0"/>
          <w:numId w:val="4"/>
        </w:numPr>
        <w:tabs>
          <w:tab w:val="left" w:pos="360"/>
        </w:tabs>
        <w:jc w:val="both"/>
        <w:rPr>
          <w:rFonts w:ascii="Garamond" w:hAnsi="Garamond"/>
          <w:b/>
          <w:bCs/>
          <w:sz w:val="28"/>
          <w:szCs w:val="28"/>
        </w:rPr>
      </w:pPr>
      <w:r w:rsidRPr="00614AA4">
        <w:rPr>
          <w:rFonts w:ascii="Garamond" w:hAnsi="Garamond"/>
          <w:b/>
          <w:bCs/>
          <w:sz w:val="28"/>
          <w:szCs w:val="28"/>
        </w:rPr>
        <w:t>Required Skills and Expertise</w:t>
      </w:r>
    </w:p>
    <w:p w:rsidR="003D62C1" w:rsidRPr="00614AA4" w:rsidRDefault="006E2F31" w:rsidP="00EE4C1A">
      <w:pPr>
        <w:pStyle w:val="pf0"/>
        <w:jc w:val="both"/>
        <w:rPr>
          <w:rFonts w:ascii="Garamond" w:hAnsi="Garamond"/>
          <w:sz w:val="26"/>
          <w:szCs w:val="26"/>
        </w:rPr>
      </w:pPr>
      <w:r w:rsidRPr="00614AA4">
        <w:rPr>
          <w:rFonts w:ascii="Garamond" w:hAnsi="Garamond"/>
          <w:sz w:val="26"/>
          <w:szCs w:val="26"/>
        </w:rPr>
        <w:t xml:space="preserve">The Consultant shall provide the following key staff. All key staff will have to be present and available </w:t>
      </w:r>
      <w:r w:rsidR="00F7370E" w:rsidRPr="00614AA4">
        <w:rPr>
          <w:rFonts w:ascii="Garamond" w:hAnsi="Garamond"/>
          <w:sz w:val="26"/>
          <w:szCs w:val="26"/>
        </w:rPr>
        <w:t>in Jordan</w:t>
      </w:r>
      <w:r w:rsidRPr="00614AA4">
        <w:rPr>
          <w:rFonts w:ascii="Garamond" w:hAnsi="Garamond"/>
          <w:sz w:val="26"/>
          <w:szCs w:val="26"/>
        </w:rPr>
        <w:t xml:space="preserve"> as per the following table. This table below shows the minimum requirement and technical expertise required by the assigned consultant to perform the assignment. </w:t>
      </w:r>
      <w:r w:rsidR="002B1820" w:rsidRPr="00614AA4">
        <w:rPr>
          <w:rFonts w:ascii="Garamond" w:hAnsi="Garamond"/>
          <w:sz w:val="26"/>
          <w:szCs w:val="26"/>
        </w:rPr>
        <w:t xml:space="preserve">All team members should be either former IPA (Investment Promotion Agency) staff or have led engagements and workstream </w:t>
      </w:r>
      <w:r w:rsidR="00300723" w:rsidRPr="00614AA4">
        <w:rPr>
          <w:rFonts w:ascii="Garamond" w:hAnsi="Garamond"/>
          <w:sz w:val="26"/>
          <w:szCs w:val="26"/>
        </w:rPr>
        <w:t>with</w:t>
      </w:r>
      <w:r w:rsidR="00EE4C1A" w:rsidRPr="00614AA4">
        <w:rPr>
          <w:rFonts w:ascii="Garamond" w:hAnsi="Garamond"/>
          <w:sz w:val="26"/>
          <w:szCs w:val="26"/>
        </w:rPr>
        <w:t xml:space="preserve"> any related Investment entity (governmental or semi-governmental)</w:t>
      </w:r>
      <w:r w:rsidR="002B1820" w:rsidRPr="00614AA4">
        <w:rPr>
          <w:rFonts w:ascii="Garamond" w:hAnsi="Garamond"/>
          <w:sz w:val="26"/>
          <w:szCs w:val="26"/>
        </w:rPr>
        <w:t xml:space="preserve"> in the Middle East.</w:t>
      </w:r>
      <w:r w:rsidR="007F2CF8" w:rsidRPr="00614AA4">
        <w:rPr>
          <w:rFonts w:ascii="Garamond" w:hAnsi="Garamond"/>
          <w:sz w:val="26"/>
          <w:szCs w:val="26"/>
        </w:rPr>
        <w:t xml:space="preserve"> </w:t>
      </w:r>
    </w:p>
    <w:tbl>
      <w:tblPr>
        <w:tblStyle w:val="TableGrid"/>
        <w:tblpPr w:leftFromText="180" w:rightFromText="180" w:vertAnchor="text" w:horzAnchor="margin" w:tblpY="94"/>
        <w:bidiVisual/>
        <w:tblW w:w="10164" w:type="dxa"/>
        <w:tblLook w:val="04A0" w:firstRow="1" w:lastRow="0" w:firstColumn="1" w:lastColumn="0" w:noHBand="0" w:noVBand="1"/>
      </w:tblPr>
      <w:tblGrid>
        <w:gridCol w:w="3051"/>
        <w:gridCol w:w="1860"/>
        <w:gridCol w:w="1539"/>
        <w:gridCol w:w="2961"/>
        <w:gridCol w:w="753"/>
      </w:tblGrid>
      <w:tr w:rsidR="00EF3F96" w:rsidRPr="00614AA4" w:rsidTr="00B233D2">
        <w:trPr>
          <w:trHeight w:val="737"/>
        </w:trPr>
        <w:tc>
          <w:tcPr>
            <w:tcW w:w="3051" w:type="dxa"/>
            <w:shd w:val="clear" w:color="auto" w:fill="F2F2F2" w:themeFill="background1" w:themeFillShade="F2"/>
            <w:vAlign w:val="center"/>
          </w:tcPr>
          <w:p w:rsidR="00EF3F96" w:rsidRPr="00614AA4" w:rsidRDefault="00EF3F96" w:rsidP="00A167F8">
            <w:pPr>
              <w:spacing w:line="276" w:lineRule="auto"/>
              <w:jc w:val="center"/>
              <w:rPr>
                <w:rFonts w:ascii="Garamond" w:hAnsi="Garamond"/>
                <w:sz w:val="24"/>
                <w:szCs w:val="24"/>
                <w:rtl/>
              </w:rPr>
            </w:pPr>
            <w:r w:rsidRPr="00614AA4">
              <w:rPr>
                <w:rFonts w:ascii="Garamond" w:hAnsi="Garamond"/>
                <w:sz w:val="24"/>
                <w:szCs w:val="24"/>
              </w:rPr>
              <w:t xml:space="preserve">Additional Experience </w:t>
            </w:r>
          </w:p>
        </w:tc>
        <w:tc>
          <w:tcPr>
            <w:tcW w:w="1860" w:type="dxa"/>
            <w:shd w:val="clear" w:color="auto" w:fill="F2F2F2" w:themeFill="background1" w:themeFillShade="F2"/>
            <w:vAlign w:val="center"/>
          </w:tcPr>
          <w:p w:rsidR="00EF3F96" w:rsidRPr="00614AA4" w:rsidRDefault="00EF3F96" w:rsidP="00A167F8">
            <w:pPr>
              <w:spacing w:line="276" w:lineRule="auto"/>
              <w:jc w:val="center"/>
              <w:rPr>
                <w:rFonts w:ascii="Garamond" w:hAnsi="Garamond"/>
                <w:sz w:val="24"/>
                <w:szCs w:val="24"/>
                <w:rtl/>
              </w:rPr>
            </w:pPr>
            <w:r w:rsidRPr="00614AA4">
              <w:rPr>
                <w:rFonts w:ascii="Garamond" w:hAnsi="Garamond"/>
                <w:sz w:val="24"/>
                <w:szCs w:val="24"/>
              </w:rPr>
              <w:t>Years of Experience</w:t>
            </w:r>
          </w:p>
        </w:tc>
        <w:tc>
          <w:tcPr>
            <w:tcW w:w="1539" w:type="dxa"/>
            <w:shd w:val="clear" w:color="auto" w:fill="F2F2F2" w:themeFill="background1" w:themeFillShade="F2"/>
            <w:vAlign w:val="center"/>
          </w:tcPr>
          <w:p w:rsidR="00EF3F96" w:rsidRPr="00614AA4" w:rsidRDefault="00EF3F96" w:rsidP="00A167F8">
            <w:pPr>
              <w:spacing w:line="276" w:lineRule="auto"/>
              <w:jc w:val="center"/>
              <w:rPr>
                <w:rFonts w:ascii="Garamond" w:hAnsi="Garamond"/>
                <w:sz w:val="24"/>
                <w:szCs w:val="24"/>
                <w:rtl/>
              </w:rPr>
            </w:pPr>
            <w:r w:rsidRPr="00614AA4">
              <w:rPr>
                <w:rFonts w:ascii="Garamond" w:hAnsi="Garamond"/>
                <w:sz w:val="24"/>
                <w:szCs w:val="24"/>
              </w:rPr>
              <w:t>Academic Degree</w:t>
            </w:r>
          </w:p>
        </w:tc>
        <w:tc>
          <w:tcPr>
            <w:tcW w:w="2961" w:type="dxa"/>
            <w:shd w:val="clear" w:color="auto" w:fill="F2F2F2" w:themeFill="background1" w:themeFillShade="F2"/>
            <w:vAlign w:val="center"/>
          </w:tcPr>
          <w:p w:rsidR="00EF3F96" w:rsidRPr="00614AA4" w:rsidRDefault="00EF3F96" w:rsidP="00A167F8">
            <w:pPr>
              <w:spacing w:line="276" w:lineRule="auto"/>
              <w:jc w:val="center"/>
              <w:rPr>
                <w:rFonts w:ascii="Garamond" w:hAnsi="Garamond"/>
                <w:sz w:val="24"/>
                <w:szCs w:val="24"/>
                <w:rtl/>
              </w:rPr>
            </w:pPr>
            <w:r w:rsidRPr="00614AA4">
              <w:rPr>
                <w:rFonts w:ascii="Garamond" w:hAnsi="Garamond"/>
                <w:sz w:val="24"/>
                <w:szCs w:val="24"/>
              </w:rPr>
              <w:t>Title</w:t>
            </w:r>
          </w:p>
        </w:tc>
        <w:tc>
          <w:tcPr>
            <w:tcW w:w="753" w:type="dxa"/>
            <w:shd w:val="clear" w:color="auto" w:fill="F2F2F2" w:themeFill="background1" w:themeFillShade="F2"/>
            <w:vAlign w:val="center"/>
          </w:tcPr>
          <w:p w:rsidR="00EF3F96" w:rsidRPr="00614AA4" w:rsidRDefault="00EF3F96" w:rsidP="00A167F8">
            <w:pPr>
              <w:spacing w:line="276" w:lineRule="auto"/>
              <w:jc w:val="center"/>
              <w:rPr>
                <w:rFonts w:ascii="Garamond" w:hAnsi="Garamond"/>
                <w:sz w:val="24"/>
                <w:szCs w:val="24"/>
              </w:rPr>
            </w:pPr>
            <w:r w:rsidRPr="00614AA4">
              <w:rPr>
                <w:rFonts w:ascii="Garamond" w:hAnsi="Garamond"/>
                <w:sz w:val="24"/>
                <w:szCs w:val="24"/>
              </w:rPr>
              <w:t>No.</w:t>
            </w:r>
          </w:p>
        </w:tc>
      </w:tr>
      <w:tr w:rsidR="00EF3F96" w:rsidRPr="00614AA4" w:rsidTr="00B233D2">
        <w:tc>
          <w:tcPr>
            <w:tcW w:w="3051" w:type="dxa"/>
            <w:vAlign w:val="center"/>
          </w:tcPr>
          <w:p w:rsidR="00EF3F96" w:rsidRPr="00614AA4" w:rsidRDefault="00EF3F96" w:rsidP="00A167F8">
            <w:pPr>
              <w:spacing w:line="276" w:lineRule="auto"/>
              <w:jc w:val="center"/>
              <w:rPr>
                <w:rFonts w:ascii="Garamond" w:hAnsi="Garamond"/>
                <w:sz w:val="24"/>
                <w:szCs w:val="24"/>
                <w:rtl/>
              </w:rPr>
            </w:pPr>
            <w:r w:rsidRPr="00614AA4">
              <w:rPr>
                <w:rFonts w:ascii="Garamond" w:hAnsi="Garamond"/>
                <w:sz w:val="24"/>
                <w:szCs w:val="24"/>
              </w:rPr>
              <w:t>Documented previous experience in investment-related entity in the Middle East.</w:t>
            </w:r>
          </w:p>
        </w:tc>
        <w:tc>
          <w:tcPr>
            <w:tcW w:w="1860" w:type="dxa"/>
            <w:vAlign w:val="center"/>
          </w:tcPr>
          <w:p w:rsidR="00EF3F96" w:rsidRPr="00614AA4" w:rsidRDefault="00EF3F96" w:rsidP="00A167F8">
            <w:pPr>
              <w:spacing w:line="276" w:lineRule="auto"/>
              <w:ind w:left="-47" w:firstLine="47"/>
              <w:jc w:val="center"/>
              <w:rPr>
                <w:rFonts w:ascii="Garamond" w:hAnsi="Garamond"/>
                <w:sz w:val="24"/>
                <w:szCs w:val="24"/>
                <w:rtl/>
              </w:rPr>
            </w:pPr>
            <w:r w:rsidRPr="00614AA4">
              <w:rPr>
                <w:rFonts w:ascii="Garamond" w:hAnsi="Garamond"/>
                <w:sz w:val="24"/>
                <w:szCs w:val="24"/>
              </w:rPr>
              <w:t xml:space="preserve">No less than 7 years </w:t>
            </w:r>
          </w:p>
        </w:tc>
        <w:tc>
          <w:tcPr>
            <w:tcW w:w="1539" w:type="dxa"/>
            <w:vAlign w:val="center"/>
          </w:tcPr>
          <w:p w:rsidR="00EF3F96" w:rsidRPr="00614AA4" w:rsidRDefault="00A5253D" w:rsidP="00A167F8">
            <w:pPr>
              <w:spacing w:line="276" w:lineRule="auto"/>
              <w:ind w:left="-47" w:firstLine="47"/>
              <w:jc w:val="center"/>
              <w:rPr>
                <w:rFonts w:ascii="Garamond" w:hAnsi="Garamond"/>
                <w:sz w:val="24"/>
                <w:szCs w:val="24"/>
                <w:rtl/>
              </w:rPr>
            </w:pPr>
            <w:r w:rsidRPr="00614AA4">
              <w:rPr>
                <w:rFonts w:ascii="Garamond" w:hAnsi="Garamond"/>
                <w:sz w:val="24"/>
                <w:szCs w:val="24"/>
              </w:rPr>
              <w:t>Masters</w:t>
            </w:r>
          </w:p>
        </w:tc>
        <w:tc>
          <w:tcPr>
            <w:tcW w:w="2961" w:type="dxa"/>
            <w:vAlign w:val="center"/>
          </w:tcPr>
          <w:p w:rsidR="00EF3F96" w:rsidRPr="00614AA4" w:rsidRDefault="00534AF0" w:rsidP="00A167F8">
            <w:pPr>
              <w:spacing w:line="276" w:lineRule="auto"/>
              <w:ind w:left="-47" w:firstLine="47"/>
              <w:jc w:val="center"/>
              <w:rPr>
                <w:rFonts w:ascii="Garamond" w:hAnsi="Garamond"/>
                <w:sz w:val="24"/>
                <w:szCs w:val="24"/>
                <w:rtl/>
              </w:rPr>
            </w:pPr>
            <w:r w:rsidRPr="00614AA4">
              <w:rPr>
                <w:rFonts w:ascii="Garamond" w:hAnsi="Garamond"/>
                <w:sz w:val="24"/>
                <w:szCs w:val="24"/>
              </w:rPr>
              <w:t xml:space="preserve">Senior </w:t>
            </w:r>
            <w:r w:rsidR="00EF3F96" w:rsidRPr="00614AA4">
              <w:rPr>
                <w:rFonts w:ascii="Garamond" w:hAnsi="Garamond"/>
                <w:sz w:val="24"/>
                <w:szCs w:val="24"/>
              </w:rPr>
              <w:t>Economic Expert</w:t>
            </w:r>
          </w:p>
        </w:tc>
        <w:tc>
          <w:tcPr>
            <w:tcW w:w="753" w:type="dxa"/>
            <w:vAlign w:val="center"/>
          </w:tcPr>
          <w:p w:rsidR="00EF3F96" w:rsidRPr="00614AA4" w:rsidRDefault="00EF3F96" w:rsidP="00A167F8">
            <w:pPr>
              <w:pStyle w:val="ListParagraph"/>
              <w:numPr>
                <w:ilvl w:val="0"/>
                <w:numId w:val="7"/>
              </w:numPr>
              <w:spacing w:line="276" w:lineRule="auto"/>
              <w:ind w:left="-47" w:firstLine="47"/>
              <w:jc w:val="center"/>
              <w:rPr>
                <w:rFonts w:ascii="Garamond" w:hAnsi="Garamond"/>
                <w:sz w:val="24"/>
                <w:szCs w:val="24"/>
                <w:rtl/>
              </w:rPr>
            </w:pPr>
          </w:p>
        </w:tc>
      </w:tr>
      <w:tr w:rsidR="00EF3F96" w:rsidRPr="00614AA4" w:rsidTr="00B233D2">
        <w:tc>
          <w:tcPr>
            <w:tcW w:w="3051" w:type="dxa"/>
            <w:vAlign w:val="center"/>
          </w:tcPr>
          <w:p w:rsidR="00EF3F96" w:rsidRPr="00614AA4" w:rsidRDefault="00EF3F96" w:rsidP="00A167F8">
            <w:pPr>
              <w:spacing w:line="276" w:lineRule="auto"/>
              <w:jc w:val="center"/>
              <w:rPr>
                <w:rFonts w:ascii="Garamond" w:hAnsi="Garamond"/>
                <w:sz w:val="24"/>
                <w:szCs w:val="24"/>
                <w:rtl/>
              </w:rPr>
            </w:pPr>
            <w:r w:rsidRPr="00614AA4">
              <w:rPr>
                <w:rFonts w:ascii="Garamond" w:hAnsi="Garamond"/>
                <w:sz w:val="24"/>
                <w:szCs w:val="24"/>
              </w:rPr>
              <w:t>Documented previous experience in investment-related entity in the Middle East.</w:t>
            </w:r>
          </w:p>
        </w:tc>
        <w:tc>
          <w:tcPr>
            <w:tcW w:w="1860" w:type="dxa"/>
            <w:vAlign w:val="center"/>
          </w:tcPr>
          <w:p w:rsidR="00EF3F96" w:rsidRPr="00614AA4" w:rsidRDefault="00EF3F96" w:rsidP="00A167F8">
            <w:pPr>
              <w:spacing w:line="276" w:lineRule="auto"/>
              <w:jc w:val="center"/>
              <w:rPr>
                <w:rFonts w:ascii="Garamond" w:hAnsi="Garamond"/>
                <w:sz w:val="24"/>
                <w:szCs w:val="24"/>
                <w:rtl/>
              </w:rPr>
            </w:pPr>
            <w:r w:rsidRPr="00614AA4">
              <w:rPr>
                <w:rFonts w:ascii="Garamond" w:hAnsi="Garamond"/>
                <w:sz w:val="24"/>
                <w:szCs w:val="24"/>
              </w:rPr>
              <w:t xml:space="preserve">No less than 7 years </w:t>
            </w:r>
          </w:p>
        </w:tc>
        <w:tc>
          <w:tcPr>
            <w:tcW w:w="1539" w:type="dxa"/>
            <w:vAlign w:val="center"/>
          </w:tcPr>
          <w:p w:rsidR="00EF3F96" w:rsidRPr="00614AA4" w:rsidRDefault="00EF3F96" w:rsidP="00A167F8">
            <w:pPr>
              <w:spacing w:line="276" w:lineRule="auto"/>
              <w:jc w:val="center"/>
              <w:rPr>
                <w:rFonts w:ascii="Garamond" w:hAnsi="Garamond"/>
                <w:sz w:val="24"/>
                <w:szCs w:val="24"/>
              </w:rPr>
            </w:pPr>
            <w:r w:rsidRPr="00614AA4">
              <w:rPr>
                <w:rFonts w:ascii="Garamond" w:hAnsi="Garamond"/>
                <w:sz w:val="24"/>
                <w:szCs w:val="24"/>
              </w:rPr>
              <w:t>Masters</w:t>
            </w:r>
          </w:p>
          <w:p w:rsidR="00EF3F96" w:rsidRPr="00614AA4" w:rsidRDefault="00EF3F96" w:rsidP="00A167F8">
            <w:pPr>
              <w:spacing w:line="276" w:lineRule="auto"/>
              <w:jc w:val="center"/>
              <w:rPr>
                <w:rFonts w:ascii="Garamond" w:hAnsi="Garamond"/>
                <w:sz w:val="24"/>
                <w:szCs w:val="24"/>
                <w:rtl/>
              </w:rPr>
            </w:pPr>
          </w:p>
        </w:tc>
        <w:tc>
          <w:tcPr>
            <w:tcW w:w="2961" w:type="dxa"/>
            <w:vAlign w:val="center"/>
          </w:tcPr>
          <w:p w:rsidR="00EF3F96" w:rsidRPr="00614AA4" w:rsidRDefault="00EF3F96" w:rsidP="00A167F8">
            <w:pPr>
              <w:spacing w:line="276" w:lineRule="auto"/>
              <w:jc w:val="center"/>
              <w:rPr>
                <w:rFonts w:ascii="Garamond" w:hAnsi="Garamond"/>
                <w:sz w:val="24"/>
                <w:szCs w:val="24"/>
              </w:rPr>
            </w:pPr>
            <w:r w:rsidRPr="00614AA4">
              <w:rPr>
                <w:rFonts w:ascii="Garamond" w:hAnsi="Garamond"/>
                <w:sz w:val="24"/>
                <w:szCs w:val="24"/>
              </w:rPr>
              <w:t>Investment and Promotion Expert</w:t>
            </w:r>
          </w:p>
        </w:tc>
        <w:tc>
          <w:tcPr>
            <w:tcW w:w="753" w:type="dxa"/>
            <w:vAlign w:val="center"/>
          </w:tcPr>
          <w:p w:rsidR="00EF3F96" w:rsidRPr="00614AA4" w:rsidRDefault="00EF3F96" w:rsidP="00A167F8">
            <w:pPr>
              <w:pStyle w:val="ListParagraph"/>
              <w:numPr>
                <w:ilvl w:val="0"/>
                <w:numId w:val="7"/>
              </w:numPr>
              <w:spacing w:line="276" w:lineRule="auto"/>
              <w:ind w:left="0" w:firstLine="0"/>
              <w:jc w:val="center"/>
              <w:rPr>
                <w:rFonts w:ascii="Garamond" w:hAnsi="Garamond"/>
                <w:sz w:val="24"/>
                <w:szCs w:val="24"/>
                <w:rtl/>
              </w:rPr>
            </w:pPr>
          </w:p>
        </w:tc>
      </w:tr>
      <w:tr w:rsidR="00EF3F96" w:rsidRPr="00614AA4" w:rsidTr="00B233D2">
        <w:tc>
          <w:tcPr>
            <w:tcW w:w="3051" w:type="dxa"/>
            <w:vAlign w:val="center"/>
          </w:tcPr>
          <w:p w:rsidR="00EF3F96" w:rsidRPr="00614AA4" w:rsidRDefault="00EF3F96" w:rsidP="00A167F8">
            <w:pPr>
              <w:spacing w:line="276" w:lineRule="auto"/>
              <w:jc w:val="center"/>
              <w:rPr>
                <w:rFonts w:ascii="Garamond" w:hAnsi="Garamond"/>
                <w:sz w:val="24"/>
                <w:szCs w:val="24"/>
                <w:rtl/>
              </w:rPr>
            </w:pPr>
            <w:r w:rsidRPr="00614AA4">
              <w:rPr>
                <w:rFonts w:ascii="Garamond" w:hAnsi="Garamond"/>
                <w:sz w:val="24"/>
                <w:szCs w:val="24"/>
              </w:rPr>
              <w:t>Documented previous experience in investment-related entity in the Middle East.</w:t>
            </w:r>
          </w:p>
        </w:tc>
        <w:tc>
          <w:tcPr>
            <w:tcW w:w="1860" w:type="dxa"/>
            <w:vAlign w:val="center"/>
          </w:tcPr>
          <w:p w:rsidR="00EF3F96" w:rsidRPr="00614AA4" w:rsidRDefault="00EF3F96" w:rsidP="00A167F8">
            <w:pPr>
              <w:spacing w:line="276" w:lineRule="auto"/>
              <w:jc w:val="center"/>
              <w:rPr>
                <w:rFonts w:ascii="Garamond" w:hAnsi="Garamond"/>
                <w:sz w:val="24"/>
                <w:szCs w:val="24"/>
                <w:rtl/>
              </w:rPr>
            </w:pPr>
            <w:r w:rsidRPr="00614AA4">
              <w:rPr>
                <w:rFonts w:ascii="Garamond" w:hAnsi="Garamond"/>
                <w:sz w:val="24"/>
                <w:szCs w:val="24"/>
              </w:rPr>
              <w:t xml:space="preserve">No less than 7 years </w:t>
            </w:r>
          </w:p>
        </w:tc>
        <w:tc>
          <w:tcPr>
            <w:tcW w:w="1539" w:type="dxa"/>
            <w:vAlign w:val="center"/>
          </w:tcPr>
          <w:p w:rsidR="00EF3F96" w:rsidRPr="00614AA4" w:rsidRDefault="00A5253D" w:rsidP="00A167F8">
            <w:pPr>
              <w:spacing w:line="276" w:lineRule="auto"/>
              <w:jc w:val="center"/>
              <w:rPr>
                <w:rFonts w:ascii="Garamond" w:hAnsi="Garamond"/>
                <w:sz w:val="24"/>
                <w:szCs w:val="24"/>
                <w:rtl/>
              </w:rPr>
            </w:pPr>
            <w:r w:rsidRPr="00614AA4">
              <w:rPr>
                <w:rFonts w:ascii="Garamond" w:hAnsi="Garamond"/>
                <w:sz w:val="24"/>
                <w:szCs w:val="24"/>
              </w:rPr>
              <w:t>Masters</w:t>
            </w:r>
          </w:p>
        </w:tc>
        <w:tc>
          <w:tcPr>
            <w:tcW w:w="2961" w:type="dxa"/>
            <w:vAlign w:val="center"/>
          </w:tcPr>
          <w:p w:rsidR="00EF3F96" w:rsidRPr="00614AA4" w:rsidRDefault="00EF3F96" w:rsidP="00A167F8">
            <w:pPr>
              <w:spacing w:line="276" w:lineRule="auto"/>
              <w:jc w:val="center"/>
              <w:rPr>
                <w:rFonts w:ascii="Garamond" w:hAnsi="Garamond"/>
                <w:sz w:val="24"/>
                <w:szCs w:val="24"/>
              </w:rPr>
            </w:pPr>
            <w:r w:rsidRPr="00614AA4">
              <w:rPr>
                <w:rFonts w:ascii="Garamond" w:hAnsi="Garamond"/>
                <w:sz w:val="24"/>
                <w:szCs w:val="24"/>
              </w:rPr>
              <w:t xml:space="preserve">Business Development </w:t>
            </w:r>
            <w:r w:rsidR="00534AF0" w:rsidRPr="00614AA4">
              <w:rPr>
                <w:rFonts w:ascii="Garamond" w:hAnsi="Garamond"/>
                <w:sz w:val="24"/>
                <w:szCs w:val="24"/>
              </w:rPr>
              <w:t>Expert.</w:t>
            </w:r>
          </w:p>
        </w:tc>
        <w:tc>
          <w:tcPr>
            <w:tcW w:w="753" w:type="dxa"/>
            <w:vAlign w:val="center"/>
          </w:tcPr>
          <w:p w:rsidR="00EF3F96" w:rsidRPr="00614AA4" w:rsidRDefault="00EF3F96" w:rsidP="00A167F8">
            <w:pPr>
              <w:pStyle w:val="ListParagraph"/>
              <w:numPr>
                <w:ilvl w:val="0"/>
                <w:numId w:val="7"/>
              </w:numPr>
              <w:spacing w:line="276" w:lineRule="auto"/>
              <w:ind w:left="0" w:firstLine="0"/>
              <w:jc w:val="center"/>
              <w:rPr>
                <w:rFonts w:ascii="Garamond" w:hAnsi="Garamond"/>
                <w:sz w:val="24"/>
                <w:szCs w:val="24"/>
                <w:rtl/>
              </w:rPr>
            </w:pPr>
          </w:p>
        </w:tc>
      </w:tr>
      <w:tr w:rsidR="00EF3F96" w:rsidRPr="00614AA4" w:rsidTr="00B233D2">
        <w:trPr>
          <w:trHeight w:val="1052"/>
        </w:trPr>
        <w:tc>
          <w:tcPr>
            <w:tcW w:w="3051" w:type="dxa"/>
            <w:vAlign w:val="center"/>
          </w:tcPr>
          <w:p w:rsidR="00EF3F96" w:rsidRPr="00614AA4" w:rsidRDefault="002239E1" w:rsidP="00A167F8">
            <w:pPr>
              <w:spacing w:line="276" w:lineRule="auto"/>
              <w:jc w:val="center"/>
              <w:rPr>
                <w:rFonts w:ascii="Garamond" w:hAnsi="Garamond"/>
                <w:sz w:val="24"/>
                <w:szCs w:val="24"/>
                <w:rtl/>
              </w:rPr>
            </w:pPr>
            <w:r w:rsidRPr="00614AA4">
              <w:rPr>
                <w:rFonts w:ascii="Garamond" w:hAnsi="Garamond"/>
                <w:sz w:val="24"/>
                <w:szCs w:val="24"/>
              </w:rPr>
              <w:t>Documented previous experience in investment-related entity in the Middle East.</w:t>
            </w:r>
          </w:p>
        </w:tc>
        <w:tc>
          <w:tcPr>
            <w:tcW w:w="1860" w:type="dxa"/>
            <w:vAlign w:val="center"/>
          </w:tcPr>
          <w:p w:rsidR="00EF3F96" w:rsidRPr="00614AA4" w:rsidRDefault="002239E1" w:rsidP="00A167F8">
            <w:pPr>
              <w:spacing w:line="276" w:lineRule="auto"/>
              <w:jc w:val="center"/>
              <w:rPr>
                <w:rFonts w:ascii="Garamond" w:hAnsi="Garamond"/>
                <w:sz w:val="24"/>
                <w:szCs w:val="24"/>
                <w:rtl/>
              </w:rPr>
            </w:pPr>
            <w:r w:rsidRPr="00614AA4">
              <w:rPr>
                <w:rFonts w:ascii="Garamond" w:hAnsi="Garamond"/>
                <w:sz w:val="24"/>
                <w:szCs w:val="24"/>
              </w:rPr>
              <w:t>No less than 7 years</w:t>
            </w:r>
          </w:p>
        </w:tc>
        <w:tc>
          <w:tcPr>
            <w:tcW w:w="1539" w:type="dxa"/>
            <w:vAlign w:val="center"/>
          </w:tcPr>
          <w:p w:rsidR="00EF3F96" w:rsidRPr="00614AA4" w:rsidRDefault="00EF3F96" w:rsidP="00A167F8">
            <w:pPr>
              <w:spacing w:line="276" w:lineRule="auto"/>
              <w:jc w:val="center"/>
              <w:rPr>
                <w:rFonts w:ascii="Garamond" w:hAnsi="Garamond"/>
                <w:sz w:val="24"/>
                <w:szCs w:val="24"/>
                <w:rtl/>
              </w:rPr>
            </w:pPr>
            <w:r w:rsidRPr="00614AA4">
              <w:rPr>
                <w:rFonts w:ascii="Garamond" w:hAnsi="Garamond"/>
                <w:sz w:val="24"/>
                <w:szCs w:val="24"/>
              </w:rPr>
              <w:t xml:space="preserve">Masters </w:t>
            </w:r>
          </w:p>
        </w:tc>
        <w:tc>
          <w:tcPr>
            <w:tcW w:w="2961" w:type="dxa"/>
            <w:vAlign w:val="center"/>
          </w:tcPr>
          <w:p w:rsidR="00EF3F96" w:rsidRPr="00614AA4" w:rsidRDefault="00534AF0" w:rsidP="00A167F8">
            <w:pPr>
              <w:spacing w:line="276" w:lineRule="auto"/>
              <w:jc w:val="center"/>
              <w:rPr>
                <w:rFonts w:ascii="Garamond" w:hAnsi="Garamond"/>
                <w:sz w:val="24"/>
                <w:szCs w:val="24"/>
              </w:rPr>
            </w:pPr>
            <w:r w:rsidRPr="00614AA4">
              <w:rPr>
                <w:rFonts w:ascii="Garamond" w:hAnsi="Garamond"/>
                <w:sz w:val="24"/>
                <w:szCs w:val="24"/>
              </w:rPr>
              <w:t xml:space="preserve">Project Manager </w:t>
            </w:r>
          </w:p>
        </w:tc>
        <w:tc>
          <w:tcPr>
            <w:tcW w:w="753" w:type="dxa"/>
            <w:vAlign w:val="center"/>
          </w:tcPr>
          <w:p w:rsidR="00EF3F96" w:rsidRPr="00614AA4" w:rsidRDefault="00EF3F96" w:rsidP="00A167F8">
            <w:pPr>
              <w:pStyle w:val="ListParagraph"/>
              <w:numPr>
                <w:ilvl w:val="0"/>
                <w:numId w:val="7"/>
              </w:numPr>
              <w:spacing w:line="276" w:lineRule="auto"/>
              <w:ind w:left="0" w:firstLine="0"/>
              <w:jc w:val="center"/>
              <w:rPr>
                <w:rFonts w:ascii="Garamond" w:hAnsi="Garamond"/>
                <w:sz w:val="24"/>
                <w:szCs w:val="24"/>
                <w:rtl/>
              </w:rPr>
            </w:pPr>
          </w:p>
        </w:tc>
      </w:tr>
    </w:tbl>
    <w:p w:rsidR="00BF0F1B" w:rsidRPr="00614AA4" w:rsidRDefault="00BF0F1B" w:rsidP="00FC2CE9">
      <w:pPr>
        <w:jc w:val="both"/>
        <w:rPr>
          <w:rFonts w:ascii="Garamond" w:hAnsi="Garamond"/>
          <w:sz w:val="26"/>
          <w:szCs w:val="26"/>
        </w:rPr>
      </w:pPr>
      <w:r w:rsidRPr="00614AA4">
        <w:rPr>
          <w:rFonts w:ascii="Garamond" w:hAnsi="Garamond"/>
          <w:sz w:val="26"/>
          <w:szCs w:val="26"/>
        </w:rPr>
        <w:t>Furthermore, the team performing this task will be expected to possess to following qualifications:</w:t>
      </w:r>
    </w:p>
    <w:p w:rsidR="00BF0F1B" w:rsidRPr="00614AA4" w:rsidRDefault="00BF0F1B" w:rsidP="00530561">
      <w:pPr>
        <w:pStyle w:val="ListParagraph"/>
        <w:numPr>
          <w:ilvl w:val="0"/>
          <w:numId w:val="14"/>
        </w:numPr>
        <w:jc w:val="both"/>
        <w:rPr>
          <w:rFonts w:ascii="Garamond" w:hAnsi="Garamond"/>
          <w:sz w:val="26"/>
          <w:szCs w:val="26"/>
        </w:rPr>
      </w:pPr>
      <w:r w:rsidRPr="00614AA4">
        <w:rPr>
          <w:rFonts w:ascii="Garamond" w:hAnsi="Garamond"/>
          <w:sz w:val="26"/>
          <w:szCs w:val="26"/>
        </w:rPr>
        <w:t>A postgraduate degree in a relevant field per position identified above.</w:t>
      </w:r>
    </w:p>
    <w:p w:rsidR="00BF0F1B" w:rsidRPr="00614AA4" w:rsidRDefault="00BF0F1B" w:rsidP="00530561">
      <w:pPr>
        <w:pStyle w:val="ListParagraph"/>
        <w:numPr>
          <w:ilvl w:val="0"/>
          <w:numId w:val="14"/>
        </w:numPr>
        <w:jc w:val="both"/>
        <w:rPr>
          <w:rFonts w:ascii="Garamond" w:hAnsi="Garamond"/>
          <w:sz w:val="26"/>
          <w:szCs w:val="26"/>
        </w:rPr>
      </w:pPr>
      <w:r w:rsidRPr="00614AA4">
        <w:rPr>
          <w:rFonts w:ascii="Garamond" w:hAnsi="Garamond"/>
          <w:sz w:val="26"/>
          <w:szCs w:val="26"/>
        </w:rPr>
        <w:t>Ability to work quickly and effectively with key stakeholders across different ministries and government entities.</w:t>
      </w:r>
    </w:p>
    <w:p w:rsidR="00842AA3" w:rsidRPr="00614AA4" w:rsidRDefault="00BF0F1B" w:rsidP="00530561">
      <w:pPr>
        <w:pStyle w:val="ListParagraph"/>
        <w:numPr>
          <w:ilvl w:val="0"/>
          <w:numId w:val="14"/>
        </w:numPr>
        <w:jc w:val="both"/>
        <w:rPr>
          <w:rFonts w:ascii="Garamond" w:hAnsi="Garamond"/>
          <w:sz w:val="26"/>
          <w:szCs w:val="26"/>
        </w:rPr>
      </w:pPr>
      <w:r w:rsidRPr="00614AA4">
        <w:rPr>
          <w:rFonts w:ascii="Garamond" w:hAnsi="Garamond"/>
          <w:sz w:val="26"/>
          <w:szCs w:val="26"/>
        </w:rPr>
        <w:t xml:space="preserve">Jordanian or regional work experience in the MENA region for </w:t>
      </w:r>
      <w:r w:rsidR="00842AA3" w:rsidRPr="00614AA4">
        <w:rPr>
          <w:rFonts w:ascii="Garamond" w:hAnsi="Garamond"/>
          <w:sz w:val="26"/>
          <w:szCs w:val="26"/>
        </w:rPr>
        <w:t>similar National Investment Roadmap, meet with (MoIN) requirements and adds value to the Investment Attraction agenda.</w:t>
      </w:r>
    </w:p>
    <w:p w:rsidR="00842AA3" w:rsidRPr="00614AA4" w:rsidRDefault="00BF0F1B" w:rsidP="00530561">
      <w:pPr>
        <w:pStyle w:val="ListParagraph"/>
        <w:numPr>
          <w:ilvl w:val="0"/>
          <w:numId w:val="14"/>
        </w:numPr>
        <w:jc w:val="both"/>
        <w:rPr>
          <w:rFonts w:ascii="Garamond" w:hAnsi="Garamond"/>
          <w:sz w:val="26"/>
          <w:szCs w:val="26"/>
        </w:rPr>
      </w:pPr>
      <w:r w:rsidRPr="00614AA4">
        <w:rPr>
          <w:rFonts w:ascii="Garamond" w:hAnsi="Garamond"/>
          <w:sz w:val="26"/>
          <w:szCs w:val="26"/>
        </w:rPr>
        <w:t>A good understanding of national and regional strategies</w:t>
      </w:r>
      <w:r w:rsidR="00842AA3" w:rsidRPr="00614AA4">
        <w:rPr>
          <w:rFonts w:ascii="Garamond" w:hAnsi="Garamond"/>
          <w:sz w:val="26"/>
          <w:szCs w:val="26"/>
        </w:rPr>
        <w:t xml:space="preserve"> which enables to build a comprehensive perspective of competitiveness in Jordan</w:t>
      </w:r>
      <w:r w:rsidR="00842AA3" w:rsidRPr="00614AA4">
        <w:rPr>
          <w:rFonts w:ascii="Garamond" w:hAnsi="Garamond" w:hint="cs"/>
          <w:sz w:val="26"/>
          <w:szCs w:val="26"/>
          <w:rtl/>
        </w:rPr>
        <w:t xml:space="preserve"> </w:t>
      </w:r>
      <w:r w:rsidR="00842AA3" w:rsidRPr="00614AA4">
        <w:rPr>
          <w:rFonts w:ascii="Garamond" w:hAnsi="Garamond"/>
          <w:sz w:val="26"/>
          <w:szCs w:val="26"/>
        </w:rPr>
        <w:t xml:space="preserve">and looking at the right inputs and governance for investment attraction both when it comes to decision around incentives as well as from a sectoral perspective. </w:t>
      </w:r>
    </w:p>
    <w:p w:rsidR="00EF3F96" w:rsidRPr="00614AA4" w:rsidRDefault="00EF3F96" w:rsidP="00530561">
      <w:pPr>
        <w:pStyle w:val="ListParagraph"/>
        <w:numPr>
          <w:ilvl w:val="0"/>
          <w:numId w:val="14"/>
        </w:numPr>
        <w:jc w:val="both"/>
        <w:rPr>
          <w:rFonts w:ascii="Garamond" w:hAnsi="Garamond"/>
          <w:sz w:val="26"/>
          <w:szCs w:val="26"/>
        </w:rPr>
      </w:pPr>
      <w:r w:rsidRPr="00614AA4">
        <w:rPr>
          <w:rFonts w:ascii="Garamond" w:hAnsi="Garamond"/>
          <w:sz w:val="26"/>
          <w:szCs w:val="26"/>
        </w:rPr>
        <w:t xml:space="preserve">Understanding of the Jordanian economic situation and Jordanian government economic management.  </w:t>
      </w:r>
    </w:p>
    <w:p w:rsidR="00EF3F96" w:rsidRPr="00614AA4" w:rsidRDefault="00534AF0" w:rsidP="00530561">
      <w:pPr>
        <w:pStyle w:val="ListParagraph"/>
        <w:numPr>
          <w:ilvl w:val="0"/>
          <w:numId w:val="14"/>
        </w:numPr>
        <w:jc w:val="both"/>
        <w:rPr>
          <w:rFonts w:ascii="Garamond" w:hAnsi="Garamond"/>
          <w:sz w:val="26"/>
          <w:szCs w:val="26"/>
        </w:rPr>
      </w:pPr>
      <w:r w:rsidRPr="00614AA4">
        <w:rPr>
          <w:rFonts w:ascii="Garamond" w:hAnsi="Garamond"/>
          <w:sz w:val="26"/>
          <w:szCs w:val="26"/>
        </w:rPr>
        <w:t xml:space="preserve">Strong background and understanding of legal/regulatory environment in </w:t>
      </w:r>
      <w:r w:rsidR="003D62C1" w:rsidRPr="00614AA4">
        <w:rPr>
          <w:rFonts w:ascii="Garamond" w:hAnsi="Garamond"/>
          <w:sz w:val="26"/>
          <w:szCs w:val="26"/>
        </w:rPr>
        <w:t>Jordan.</w:t>
      </w:r>
    </w:p>
    <w:p w:rsidR="00A93C88" w:rsidRPr="00614AA4" w:rsidRDefault="00BF0F1B" w:rsidP="00FC2CE9">
      <w:pPr>
        <w:jc w:val="both"/>
        <w:rPr>
          <w:rFonts w:ascii="Garamond" w:hAnsi="Garamond"/>
          <w:sz w:val="26"/>
          <w:szCs w:val="26"/>
        </w:rPr>
      </w:pPr>
      <w:r w:rsidRPr="00614AA4">
        <w:rPr>
          <w:rFonts w:ascii="Garamond" w:hAnsi="Garamond"/>
          <w:sz w:val="26"/>
          <w:szCs w:val="26"/>
        </w:rPr>
        <w:t xml:space="preserve">The Consultant </w:t>
      </w:r>
      <w:r w:rsidR="008005B7" w:rsidRPr="00614AA4">
        <w:rPr>
          <w:rFonts w:ascii="Garamond" w:hAnsi="Garamond"/>
          <w:sz w:val="26"/>
          <w:szCs w:val="26"/>
        </w:rPr>
        <w:t>should</w:t>
      </w:r>
      <w:r w:rsidRPr="00614AA4">
        <w:rPr>
          <w:rFonts w:ascii="Garamond" w:hAnsi="Garamond"/>
          <w:sz w:val="26"/>
          <w:szCs w:val="26"/>
        </w:rPr>
        <w:t xml:space="preserve"> also provide the necessary additional staff</w:t>
      </w:r>
      <w:r w:rsidR="009A43E4" w:rsidRPr="00614AA4">
        <w:rPr>
          <w:rFonts w:ascii="Garamond" w:hAnsi="Garamond"/>
          <w:sz w:val="26"/>
          <w:szCs w:val="26"/>
        </w:rPr>
        <w:t xml:space="preserve"> if needed</w:t>
      </w:r>
      <w:r w:rsidRPr="00614AA4">
        <w:rPr>
          <w:rFonts w:ascii="Garamond" w:hAnsi="Garamond"/>
          <w:sz w:val="26"/>
          <w:szCs w:val="26"/>
        </w:rPr>
        <w:t xml:space="preserve"> (administrative/technical, foreign/local), which are required for the execution of its services. In addition, the Consultant is invited to give details on the required logistical set-up for the execution of services in its offer. </w:t>
      </w:r>
    </w:p>
    <w:p w:rsidR="00534AF0" w:rsidRPr="00614AA4" w:rsidRDefault="00534AF0" w:rsidP="00D21F91">
      <w:pPr>
        <w:pStyle w:val="ListParagraph"/>
        <w:numPr>
          <w:ilvl w:val="0"/>
          <w:numId w:val="4"/>
        </w:numPr>
        <w:tabs>
          <w:tab w:val="left" w:pos="360"/>
        </w:tabs>
        <w:jc w:val="both"/>
        <w:rPr>
          <w:rFonts w:ascii="Garamond" w:hAnsi="Garamond"/>
          <w:b/>
          <w:bCs/>
          <w:sz w:val="28"/>
          <w:szCs w:val="28"/>
        </w:rPr>
      </w:pPr>
      <w:r w:rsidRPr="00614AA4">
        <w:rPr>
          <w:rFonts w:ascii="Garamond" w:hAnsi="Garamond"/>
          <w:b/>
          <w:bCs/>
          <w:sz w:val="28"/>
          <w:szCs w:val="28"/>
        </w:rPr>
        <w:t>client responsibilities</w:t>
      </w:r>
    </w:p>
    <w:p w:rsidR="00534AF0" w:rsidRPr="00614AA4" w:rsidRDefault="00534AF0" w:rsidP="00530561">
      <w:pPr>
        <w:pStyle w:val="ListParagraph"/>
        <w:numPr>
          <w:ilvl w:val="0"/>
          <w:numId w:val="23"/>
        </w:numPr>
        <w:jc w:val="both"/>
        <w:rPr>
          <w:rFonts w:ascii="Garamond" w:hAnsi="Garamond"/>
          <w:sz w:val="26"/>
          <w:szCs w:val="26"/>
        </w:rPr>
      </w:pPr>
      <w:r w:rsidRPr="00614AA4">
        <w:rPr>
          <w:rFonts w:ascii="Garamond" w:hAnsi="Garamond"/>
          <w:sz w:val="26"/>
          <w:szCs w:val="26"/>
        </w:rPr>
        <w:t xml:space="preserve">The Ministry of Investment will be the main </w:t>
      </w:r>
      <w:r w:rsidR="00816FCD" w:rsidRPr="00614AA4">
        <w:rPr>
          <w:rFonts w:ascii="Garamond" w:hAnsi="Garamond"/>
          <w:sz w:val="26"/>
          <w:szCs w:val="26"/>
        </w:rPr>
        <w:t>focal contact</w:t>
      </w:r>
      <w:r w:rsidRPr="00614AA4">
        <w:rPr>
          <w:rFonts w:ascii="Garamond" w:hAnsi="Garamond"/>
          <w:sz w:val="26"/>
          <w:szCs w:val="26"/>
        </w:rPr>
        <w:t xml:space="preserve"> for all submissions, with a copy sent to the Reform Secretariat</w:t>
      </w:r>
      <w:r w:rsidR="002239E1" w:rsidRPr="00614AA4">
        <w:rPr>
          <w:rFonts w:ascii="Garamond" w:hAnsi="Garamond"/>
          <w:sz w:val="26"/>
          <w:szCs w:val="26"/>
        </w:rPr>
        <w:t xml:space="preserve"> -MOPIC</w:t>
      </w:r>
      <w:r w:rsidRPr="00614AA4">
        <w:rPr>
          <w:rFonts w:ascii="Garamond" w:hAnsi="Garamond"/>
          <w:sz w:val="26"/>
          <w:szCs w:val="26"/>
        </w:rPr>
        <w:t xml:space="preserve">. </w:t>
      </w:r>
    </w:p>
    <w:p w:rsidR="00534AF0" w:rsidRPr="00614AA4" w:rsidRDefault="00534AF0" w:rsidP="00530561">
      <w:pPr>
        <w:pStyle w:val="ListParagraph"/>
        <w:numPr>
          <w:ilvl w:val="0"/>
          <w:numId w:val="23"/>
        </w:numPr>
        <w:jc w:val="both"/>
        <w:rPr>
          <w:rFonts w:ascii="Garamond" w:hAnsi="Garamond"/>
          <w:sz w:val="26"/>
          <w:szCs w:val="26"/>
        </w:rPr>
      </w:pPr>
      <w:r w:rsidRPr="00614AA4">
        <w:rPr>
          <w:rFonts w:ascii="Garamond" w:hAnsi="Garamond"/>
          <w:sz w:val="26"/>
          <w:szCs w:val="26"/>
        </w:rPr>
        <w:t xml:space="preserve">The Ministry of </w:t>
      </w:r>
      <w:r w:rsidR="00820931" w:rsidRPr="00614AA4">
        <w:rPr>
          <w:rFonts w:ascii="Garamond" w:hAnsi="Garamond"/>
          <w:sz w:val="26"/>
          <w:szCs w:val="26"/>
        </w:rPr>
        <w:t>Investment will</w:t>
      </w:r>
      <w:r w:rsidRPr="00614AA4">
        <w:rPr>
          <w:rFonts w:ascii="Garamond" w:hAnsi="Garamond"/>
          <w:sz w:val="26"/>
          <w:szCs w:val="26"/>
        </w:rPr>
        <w:t xml:space="preserve"> meet with the Consultant on a weekly basis to provide progress updates. </w:t>
      </w:r>
    </w:p>
    <w:p w:rsidR="00534AF0" w:rsidRPr="00614AA4" w:rsidRDefault="00534AF0" w:rsidP="00530561">
      <w:pPr>
        <w:pStyle w:val="ListParagraph"/>
        <w:numPr>
          <w:ilvl w:val="0"/>
          <w:numId w:val="23"/>
        </w:numPr>
        <w:jc w:val="both"/>
        <w:rPr>
          <w:rFonts w:ascii="Garamond" w:hAnsi="Garamond"/>
          <w:sz w:val="26"/>
          <w:szCs w:val="26"/>
        </w:rPr>
      </w:pPr>
      <w:r w:rsidRPr="00614AA4">
        <w:rPr>
          <w:rFonts w:ascii="Garamond" w:hAnsi="Garamond"/>
          <w:sz w:val="26"/>
          <w:szCs w:val="26"/>
        </w:rPr>
        <w:t xml:space="preserve">The Ministry of Investment will also provide the Consultant with information regarding the relevant ministries and government agencies to be met.  </w:t>
      </w:r>
    </w:p>
    <w:p w:rsidR="00534AF0" w:rsidRPr="00614AA4" w:rsidRDefault="00534AF0" w:rsidP="00530561">
      <w:pPr>
        <w:pStyle w:val="ListParagraph"/>
        <w:numPr>
          <w:ilvl w:val="0"/>
          <w:numId w:val="23"/>
        </w:numPr>
        <w:jc w:val="both"/>
        <w:rPr>
          <w:rFonts w:ascii="Garamond" w:hAnsi="Garamond"/>
          <w:sz w:val="26"/>
          <w:szCs w:val="26"/>
        </w:rPr>
      </w:pPr>
      <w:r w:rsidRPr="00614AA4">
        <w:rPr>
          <w:rFonts w:ascii="Garamond" w:hAnsi="Garamond"/>
          <w:sz w:val="26"/>
          <w:szCs w:val="26"/>
        </w:rPr>
        <w:t>The Ministry of Investment will assist the Consultant in coordinating with the relevant ministries and government agencies.</w:t>
      </w:r>
    </w:p>
    <w:p w:rsidR="007A273C" w:rsidRPr="00530561" w:rsidRDefault="007A273C" w:rsidP="00C61224">
      <w:pPr>
        <w:jc w:val="both"/>
        <w:rPr>
          <w:rFonts w:ascii="Garamond" w:hAnsi="Garamond"/>
          <w:sz w:val="26"/>
          <w:szCs w:val="26"/>
        </w:rPr>
      </w:pPr>
    </w:p>
    <w:sectPr w:rsidR="007A273C" w:rsidRPr="00530561">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F475D" w:rsidRDefault="00FF475D" w:rsidP="00B6244B">
      <w:pPr>
        <w:spacing w:after="0" w:line="240" w:lineRule="auto"/>
      </w:pPr>
      <w:r>
        <w:separator/>
      </w:r>
    </w:p>
  </w:endnote>
  <w:endnote w:type="continuationSeparator" w:id="0">
    <w:p w:rsidR="00FF475D" w:rsidRDefault="00FF475D" w:rsidP="00B62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pleSystemUIFont">
    <w:altName w:val="Cambria"/>
    <w:charset w:val="00"/>
    <w:family w:val="roman"/>
    <w:pitch w:val="default"/>
  </w:font>
  <w:font w:name="UICTFontTextStyleBody">
    <w:altName w:val="Cambria"/>
    <w:charset w:val="00"/>
    <w:family w:val="roman"/>
    <w:pitch w:val="default"/>
  </w:font>
  <w:font w:name="ArialMT">
    <w:altName w:val="Klee One"/>
    <w:panose1 w:val="00000000000000000000"/>
    <w:charset w:val="80"/>
    <w:family w:val="auto"/>
    <w:notTrueType/>
    <w:pitch w:val="default"/>
    <w:sig w:usb0="00000001" w:usb1="08070000" w:usb2="00000010" w:usb3="00000000" w:csb0="00020000" w:csb1="00000000"/>
  </w:font>
  <w:font w:name="Arial-Bold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1604987"/>
      <w:docPartObj>
        <w:docPartGallery w:val="Page Numbers (Bottom of Page)"/>
        <w:docPartUnique/>
      </w:docPartObj>
    </w:sdtPr>
    <w:sdtEndPr>
      <w:rPr>
        <w:b/>
        <w:bCs/>
      </w:rPr>
    </w:sdtEndPr>
    <w:sdtContent>
      <w:p w:rsidR="00B6244B" w:rsidRDefault="00B6244B">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C53D7F" w:rsidRPr="00C53D7F">
          <w:rPr>
            <w:b/>
            <w:bCs/>
            <w:noProof/>
          </w:rPr>
          <w:t>8</w:t>
        </w:r>
        <w:r>
          <w:rPr>
            <w:b/>
            <w:bCs/>
            <w:noProof/>
          </w:rPr>
          <w:fldChar w:fldCharType="end"/>
        </w:r>
        <w:r>
          <w:rPr>
            <w:b/>
            <w:bCs/>
          </w:rPr>
          <w:t xml:space="preserve"> | </w:t>
        </w:r>
        <w:r>
          <w:rPr>
            <w:color w:val="7F7F7F" w:themeColor="background1" w:themeShade="7F"/>
            <w:spacing w:val="60"/>
          </w:rPr>
          <w:t>Page</w:t>
        </w:r>
      </w:p>
    </w:sdtContent>
  </w:sdt>
  <w:p w:rsidR="00B6244B" w:rsidRDefault="00B624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F475D" w:rsidRDefault="00FF475D" w:rsidP="00B6244B">
      <w:pPr>
        <w:spacing w:after="0" w:line="240" w:lineRule="auto"/>
      </w:pPr>
      <w:r>
        <w:separator/>
      </w:r>
    </w:p>
  </w:footnote>
  <w:footnote w:type="continuationSeparator" w:id="0">
    <w:p w:rsidR="00FF475D" w:rsidRDefault="00FF475D" w:rsidP="00B624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50A2"/>
    <w:multiLevelType w:val="hybridMultilevel"/>
    <w:tmpl w:val="5E6A6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E4A17"/>
    <w:multiLevelType w:val="hybridMultilevel"/>
    <w:tmpl w:val="BDEA67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F4D9A"/>
    <w:multiLevelType w:val="hybridMultilevel"/>
    <w:tmpl w:val="0AA4A3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86A77C0"/>
    <w:multiLevelType w:val="hybridMultilevel"/>
    <w:tmpl w:val="98F6B2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884679F"/>
    <w:multiLevelType w:val="hybridMultilevel"/>
    <w:tmpl w:val="3D4629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E8723D"/>
    <w:multiLevelType w:val="hybridMultilevel"/>
    <w:tmpl w:val="BE58A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A3171D"/>
    <w:multiLevelType w:val="hybridMultilevel"/>
    <w:tmpl w:val="0D945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842434"/>
    <w:multiLevelType w:val="multilevel"/>
    <w:tmpl w:val="BB541CC2"/>
    <w:lvl w:ilvl="0">
      <w:start w:val="1"/>
      <w:numFmt w:val="decimal"/>
      <w:pStyle w:val="Heading1"/>
      <w:lvlText w:val="Section %1."/>
      <w:lvlJc w:val="left"/>
      <w:pPr>
        <w:ind w:left="270" w:hanging="360"/>
      </w:pPr>
      <w:rPr>
        <w:rFonts w:hint="default"/>
      </w:rPr>
    </w:lvl>
    <w:lvl w:ilvl="1">
      <w:start w:val="1"/>
      <w:numFmt w:val="decimal"/>
      <w:pStyle w:val="Heading2"/>
      <w:isLgl/>
      <w:lvlText w:val="%1.%2."/>
      <w:lvlJc w:val="left"/>
      <w:pPr>
        <w:tabs>
          <w:tab w:val="num" w:pos="792"/>
        </w:tabs>
        <w:ind w:left="792" w:hanging="432"/>
      </w:pPr>
      <w:rPr>
        <w:rFonts w:hint="default"/>
      </w:rPr>
    </w:lvl>
    <w:lvl w:ilvl="2">
      <w:start w:val="1"/>
      <w:numFmt w:val="decimal"/>
      <w:isLg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D2B0DFA"/>
    <w:multiLevelType w:val="hybridMultilevel"/>
    <w:tmpl w:val="C5A4AE58"/>
    <w:lvl w:ilvl="0" w:tplc="04090001">
      <w:start w:val="1"/>
      <w:numFmt w:val="bullet"/>
      <w:lvlText w:val=""/>
      <w:lvlJc w:val="left"/>
      <w:pPr>
        <w:ind w:left="1890" w:hanging="360"/>
      </w:pPr>
      <w:rPr>
        <w:rFonts w:ascii="Symbol" w:hAnsi="Symbol" w:hint="default"/>
        <w:b w:val="0"/>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9" w15:restartNumberingAfterBreak="0">
    <w:nsid w:val="3693551C"/>
    <w:multiLevelType w:val="hybridMultilevel"/>
    <w:tmpl w:val="958EED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442AD0"/>
    <w:multiLevelType w:val="hybridMultilevel"/>
    <w:tmpl w:val="C3449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E14044"/>
    <w:multiLevelType w:val="hybridMultilevel"/>
    <w:tmpl w:val="5998819E"/>
    <w:lvl w:ilvl="0" w:tplc="DB8C235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C006F0"/>
    <w:multiLevelType w:val="hybridMultilevel"/>
    <w:tmpl w:val="B718C71C"/>
    <w:lvl w:ilvl="0" w:tplc="08090001">
      <w:start w:val="1"/>
      <w:numFmt w:val="bullet"/>
      <w:lvlText w:val=""/>
      <w:lvlJc w:val="left"/>
      <w:pPr>
        <w:ind w:left="702" w:hanging="360"/>
      </w:pPr>
      <w:rPr>
        <w:rFonts w:ascii="Symbol" w:hAnsi="Symbol" w:hint="default"/>
      </w:rPr>
    </w:lvl>
    <w:lvl w:ilvl="1" w:tplc="08090003" w:tentative="1">
      <w:start w:val="1"/>
      <w:numFmt w:val="bullet"/>
      <w:lvlText w:val="o"/>
      <w:lvlJc w:val="left"/>
      <w:pPr>
        <w:ind w:left="1422" w:hanging="360"/>
      </w:pPr>
      <w:rPr>
        <w:rFonts w:ascii="Courier New" w:hAnsi="Courier New" w:cs="Courier New" w:hint="default"/>
      </w:rPr>
    </w:lvl>
    <w:lvl w:ilvl="2" w:tplc="08090005" w:tentative="1">
      <w:start w:val="1"/>
      <w:numFmt w:val="bullet"/>
      <w:lvlText w:val=""/>
      <w:lvlJc w:val="left"/>
      <w:pPr>
        <w:ind w:left="2142" w:hanging="360"/>
      </w:pPr>
      <w:rPr>
        <w:rFonts w:ascii="Wingdings" w:hAnsi="Wingdings" w:hint="default"/>
      </w:rPr>
    </w:lvl>
    <w:lvl w:ilvl="3" w:tplc="08090001" w:tentative="1">
      <w:start w:val="1"/>
      <w:numFmt w:val="bullet"/>
      <w:lvlText w:val=""/>
      <w:lvlJc w:val="left"/>
      <w:pPr>
        <w:ind w:left="2862" w:hanging="360"/>
      </w:pPr>
      <w:rPr>
        <w:rFonts w:ascii="Symbol" w:hAnsi="Symbol" w:hint="default"/>
      </w:rPr>
    </w:lvl>
    <w:lvl w:ilvl="4" w:tplc="08090003" w:tentative="1">
      <w:start w:val="1"/>
      <w:numFmt w:val="bullet"/>
      <w:lvlText w:val="o"/>
      <w:lvlJc w:val="left"/>
      <w:pPr>
        <w:ind w:left="3582" w:hanging="360"/>
      </w:pPr>
      <w:rPr>
        <w:rFonts w:ascii="Courier New" w:hAnsi="Courier New" w:cs="Courier New" w:hint="default"/>
      </w:rPr>
    </w:lvl>
    <w:lvl w:ilvl="5" w:tplc="08090005" w:tentative="1">
      <w:start w:val="1"/>
      <w:numFmt w:val="bullet"/>
      <w:lvlText w:val=""/>
      <w:lvlJc w:val="left"/>
      <w:pPr>
        <w:ind w:left="4302" w:hanging="360"/>
      </w:pPr>
      <w:rPr>
        <w:rFonts w:ascii="Wingdings" w:hAnsi="Wingdings" w:hint="default"/>
      </w:rPr>
    </w:lvl>
    <w:lvl w:ilvl="6" w:tplc="08090001" w:tentative="1">
      <w:start w:val="1"/>
      <w:numFmt w:val="bullet"/>
      <w:lvlText w:val=""/>
      <w:lvlJc w:val="left"/>
      <w:pPr>
        <w:ind w:left="5022" w:hanging="360"/>
      </w:pPr>
      <w:rPr>
        <w:rFonts w:ascii="Symbol" w:hAnsi="Symbol" w:hint="default"/>
      </w:rPr>
    </w:lvl>
    <w:lvl w:ilvl="7" w:tplc="08090003" w:tentative="1">
      <w:start w:val="1"/>
      <w:numFmt w:val="bullet"/>
      <w:lvlText w:val="o"/>
      <w:lvlJc w:val="left"/>
      <w:pPr>
        <w:ind w:left="5742" w:hanging="360"/>
      </w:pPr>
      <w:rPr>
        <w:rFonts w:ascii="Courier New" w:hAnsi="Courier New" w:cs="Courier New" w:hint="default"/>
      </w:rPr>
    </w:lvl>
    <w:lvl w:ilvl="8" w:tplc="08090005" w:tentative="1">
      <w:start w:val="1"/>
      <w:numFmt w:val="bullet"/>
      <w:lvlText w:val=""/>
      <w:lvlJc w:val="left"/>
      <w:pPr>
        <w:ind w:left="6462" w:hanging="360"/>
      </w:pPr>
      <w:rPr>
        <w:rFonts w:ascii="Wingdings" w:hAnsi="Wingdings" w:hint="default"/>
      </w:rPr>
    </w:lvl>
  </w:abstractNum>
  <w:abstractNum w:abstractNumId="13" w15:restartNumberingAfterBreak="0">
    <w:nsid w:val="549D4EE3"/>
    <w:multiLevelType w:val="hybridMultilevel"/>
    <w:tmpl w:val="1F208B4A"/>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4" w15:restartNumberingAfterBreak="0">
    <w:nsid w:val="576048B6"/>
    <w:multiLevelType w:val="multilevel"/>
    <w:tmpl w:val="4364C400"/>
    <w:lvl w:ilvl="0">
      <w:start w:val="1"/>
      <w:numFmt w:val="decimal"/>
      <w:lvlText w:val="%1."/>
      <w:lvlJc w:val="left"/>
      <w:pPr>
        <w:ind w:left="1080" w:hanging="360"/>
      </w:pPr>
      <w:rPr>
        <w:rFonts w:asciiTheme="minorHAnsi" w:eastAsia="Calibri" w:hAnsiTheme="minorHAnsi" w:cstheme="minorHAnsi" w:hint="default"/>
        <w:b w:val="0"/>
        <w:bCs/>
        <w:sz w:val="24"/>
        <w:szCs w:val="24"/>
      </w:rPr>
    </w:lvl>
    <w:lvl w:ilvl="1">
      <w:start w:val="1"/>
      <w:numFmt w:val="decimal"/>
      <w:lvlText w:val="%2."/>
      <w:lvlJc w:val="left"/>
      <w:pPr>
        <w:ind w:left="1440" w:hanging="720"/>
      </w:pPr>
      <w:rPr>
        <w:rFonts w:hint="default"/>
        <w:b/>
        <w:bCs/>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5" w15:restartNumberingAfterBreak="0">
    <w:nsid w:val="599A2E19"/>
    <w:multiLevelType w:val="hybridMultilevel"/>
    <w:tmpl w:val="4F166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397C8D"/>
    <w:multiLevelType w:val="hybridMultilevel"/>
    <w:tmpl w:val="5FBAE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714297"/>
    <w:multiLevelType w:val="hybridMultilevel"/>
    <w:tmpl w:val="54FA4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A032BE"/>
    <w:multiLevelType w:val="hybridMultilevel"/>
    <w:tmpl w:val="1F242E7A"/>
    <w:lvl w:ilvl="0" w:tplc="56BAA972">
      <w:start w:val="2"/>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79223F"/>
    <w:multiLevelType w:val="multilevel"/>
    <w:tmpl w:val="E23EE2CE"/>
    <w:lvl w:ilvl="0">
      <w:start w:val="1"/>
      <w:numFmt w:val="decimal"/>
      <w:lvlText w:val="%1."/>
      <w:lvlJc w:val="left"/>
      <w:pPr>
        <w:ind w:left="720" w:hanging="360"/>
      </w:pPr>
      <w:rPr>
        <w:rFonts w:eastAsia="Calibri" w:cs="Times New Roman" w:hint="default"/>
        <w:b/>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69AF3675"/>
    <w:multiLevelType w:val="hybridMultilevel"/>
    <w:tmpl w:val="F4B6A5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AEC38B0"/>
    <w:multiLevelType w:val="hybridMultilevel"/>
    <w:tmpl w:val="8202E9AE"/>
    <w:lvl w:ilvl="0" w:tplc="6628AA68">
      <w:start w:val="1"/>
      <w:numFmt w:val="lowerRoman"/>
      <w:lvlText w:val="%1."/>
      <w:lvlJc w:val="righ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12C73AD"/>
    <w:multiLevelType w:val="hybridMultilevel"/>
    <w:tmpl w:val="FF12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880C5D"/>
    <w:multiLevelType w:val="hybridMultilevel"/>
    <w:tmpl w:val="A8684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F85CE4"/>
    <w:multiLevelType w:val="hybridMultilevel"/>
    <w:tmpl w:val="F5567932"/>
    <w:lvl w:ilvl="0" w:tplc="DB8C235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4725227">
    <w:abstractNumId w:val="22"/>
  </w:num>
  <w:num w:numId="2" w16cid:durableId="1691838486">
    <w:abstractNumId w:val="0"/>
  </w:num>
  <w:num w:numId="3" w16cid:durableId="1765999073">
    <w:abstractNumId w:val="5"/>
  </w:num>
  <w:num w:numId="4" w16cid:durableId="1131939913">
    <w:abstractNumId w:val="4"/>
  </w:num>
  <w:num w:numId="5" w16cid:durableId="63187578">
    <w:abstractNumId w:val="17"/>
  </w:num>
  <w:num w:numId="6" w16cid:durableId="1941597358">
    <w:abstractNumId w:val="24"/>
  </w:num>
  <w:num w:numId="7" w16cid:durableId="1850409999">
    <w:abstractNumId w:val="23"/>
  </w:num>
  <w:num w:numId="8" w16cid:durableId="591936722">
    <w:abstractNumId w:val="3"/>
  </w:num>
  <w:num w:numId="9" w16cid:durableId="1753353571">
    <w:abstractNumId w:val="7"/>
  </w:num>
  <w:num w:numId="10" w16cid:durableId="595790763">
    <w:abstractNumId w:val="21"/>
  </w:num>
  <w:num w:numId="11" w16cid:durableId="1322079137">
    <w:abstractNumId w:val="15"/>
  </w:num>
  <w:num w:numId="12" w16cid:durableId="685400293">
    <w:abstractNumId w:val="7"/>
  </w:num>
  <w:num w:numId="13" w16cid:durableId="726614455">
    <w:abstractNumId w:val="20"/>
  </w:num>
  <w:num w:numId="14" w16cid:durableId="467358360">
    <w:abstractNumId w:val="16"/>
  </w:num>
  <w:num w:numId="15" w16cid:durableId="810708395">
    <w:abstractNumId w:val="12"/>
  </w:num>
  <w:num w:numId="16" w16cid:durableId="1991444536">
    <w:abstractNumId w:val="11"/>
  </w:num>
  <w:num w:numId="17" w16cid:durableId="2035955684">
    <w:abstractNumId w:val="1"/>
  </w:num>
  <w:num w:numId="18" w16cid:durableId="393623889">
    <w:abstractNumId w:val="14"/>
  </w:num>
  <w:num w:numId="19" w16cid:durableId="37242842">
    <w:abstractNumId w:val="19"/>
  </w:num>
  <w:num w:numId="20" w16cid:durableId="2147236987">
    <w:abstractNumId w:val="8"/>
  </w:num>
  <w:num w:numId="21" w16cid:durableId="2091928237">
    <w:abstractNumId w:val="6"/>
  </w:num>
  <w:num w:numId="22" w16cid:durableId="775366753">
    <w:abstractNumId w:val="2"/>
  </w:num>
  <w:num w:numId="23" w16cid:durableId="1906332409">
    <w:abstractNumId w:val="10"/>
  </w:num>
  <w:num w:numId="24" w16cid:durableId="1454247376">
    <w:abstractNumId w:val="9"/>
  </w:num>
  <w:num w:numId="25" w16cid:durableId="1220168274">
    <w:abstractNumId w:val="13"/>
  </w:num>
  <w:num w:numId="26" w16cid:durableId="634545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6A4"/>
    <w:rsid w:val="00012338"/>
    <w:rsid w:val="000250E1"/>
    <w:rsid w:val="000378FA"/>
    <w:rsid w:val="00042A13"/>
    <w:rsid w:val="00043210"/>
    <w:rsid w:val="00053268"/>
    <w:rsid w:val="00063FE8"/>
    <w:rsid w:val="00067FC2"/>
    <w:rsid w:val="00074078"/>
    <w:rsid w:val="000757A0"/>
    <w:rsid w:val="00076C9E"/>
    <w:rsid w:val="000918C3"/>
    <w:rsid w:val="000B0CAB"/>
    <w:rsid w:val="000B1844"/>
    <w:rsid w:val="000C29A4"/>
    <w:rsid w:val="000E0B99"/>
    <w:rsid w:val="000E215D"/>
    <w:rsid w:val="000E360D"/>
    <w:rsid w:val="000F19A9"/>
    <w:rsid w:val="001261BF"/>
    <w:rsid w:val="00130328"/>
    <w:rsid w:val="001429A0"/>
    <w:rsid w:val="00146A29"/>
    <w:rsid w:val="00174D14"/>
    <w:rsid w:val="00175352"/>
    <w:rsid w:val="00176535"/>
    <w:rsid w:val="0019164F"/>
    <w:rsid w:val="00195383"/>
    <w:rsid w:val="001B5D7B"/>
    <w:rsid w:val="001D037B"/>
    <w:rsid w:val="001D7CA5"/>
    <w:rsid w:val="002203BD"/>
    <w:rsid w:val="002239E1"/>
    <w:rsid w:val="0024084B"/>
    <w:rsid w:val="002455DD"/>
    <w:rsid w:val="00264DAF"/>
    <w:rsid w:val="0027198D"/>
    <w:rsid w:val="002724D9"/>
    <w:rsid w:val="00292C41"/>
    <w:rsid w:val="00292FF5"/>
    <w:rsid w:val="002A1EE7"/>
    <w:rsid w:val="002A4DF0"/>
    <w:rsid w:val="002B1820"/>
    <w:rsid w:val="002E3DAA"/>
    <w:rsid w:val="002F2D05"/>
    <w:rsid w:val="00300723"/>
    <w:rsid w:val="00320A6D"/>
    <w:rsid w:val="00320D52"/>
    <w:rsid w:val="003373E7"/>
    <w:rsid w:val="00345358"/>
    <w:rsid w:val="00346CFC"/>
    <w:rsid w:val="003623E0"/>
    <w:rsid w:val="00363FC5"/>
    <w:rsid w:val="00365CC7"/>
    <w:rsid w:val="003809DD"/>
    <w:rsid w:val="0038478A"/>
    <w:rsid w:val="00392E73"/>
    <w:rsid w:val="003A2547"/>
    <w:rsid w:val="003C55C7"/>
    <w:rsid w:val="003D62C1"/>
    <w:rsid w:val="003E284A"/>
    <w:rsid w:val="003F33A1"/>
    <w:rsid w:val="00416D2F"/>
    <w:rsid w:val="004360D9"/>
    <w:rsid w:val="00442DE7"/>
    <w:rsid w:val="0046225C"/>
    <w:rsid w:val="00462EE8"/>
    <w:rsid w:val="0046464A"/>
    <w:rsid w:val="00470A06"/>
    <w:rsid w:val="004825BA"/>
    <w:rsid w:val="0049038F"/>
    <w:rsid w:val="00494181"/>
    <w:rsid w:val="004953A0"/>
    <w:rsid w:val="004A3AFF"/>
    <w:rsid w:val="004A4C89"/>
    <w:rsid w:val="004B092F"/>
    <w:rsid w:val="004B288C"/>
    <w:rsid w:val="004C05A9"/>
    <w:rsid w:val="004C278D"/>
    <w:rsid w:val="004C2D74"/>
    <w:rsid w:val="004D7231"/>
    <w:rsid w:val="004E1CFE"/>
    <w:rsid w:val="00521D2D"/>
    <w:rsid w:val="00530561"/>
    <w:rsid w:val="00534AF0"/>
    <w:rsid w:val="00550A70"/>
    <w:rsid w:val="00552D32"/>
    <w:rsid w:val="00555535"/>
    <w:rsid w:val="00563193"/>
    <w:rsid w:val="00566781"/>
    <w:rsid w:val="00597A0C"/>
    <w:rsid w:val="005A49A9"/>
    <w:rsid w:val="00607DDB"/>
    <w:rsid w:val="00614AA4"/>
    <w:rsid w:val="00617BCE"/>
    <w:rsid w:val="0062349D"/>
    <w:rsid w:val="006261F4"/>
    <w:rsid w:val="006301BB"/>
    <w:rsid w:val="00637DE7"/>
    <w:rsid w:val="006408A1"/>
    <w:rsid w:val="00646D90"/>
    <w:rsid w:val="0064742D"/>
    <w:rsid w:val="00647734"/>
    <w:rsid w:val="00661457"/>
    <w:rsid w:val="00661929"/>
    <w:rsid w:val="006650A1"/>
    <w:rsid w:val="00685224"/>
    <w:rsid w:val="006902F1"/>
    <w:rsid w:val="00693C40"/>
    <w:rsid w:val="006964B3"/>
    <w:rsid w:val="006A3444"/>
    <w:rsid w:val="006B09F4"/>
    <w:rsid w:val="006E2F31"/>
    <w:rsid w:val="006E6326"/>
    <w:rsid w:val="006E660C"/>
    <w:rsid w:val="006F25DD"/>
    <w:rsid w:val="006F412E"/>
    <w:rsid w:val="0072000A"/>
    <w:rsid w:val="00720171"/>
    <w:rsid w:val="0072258F"/>
    <w:rsid w:val="00730028"/>
    <w:rsid w:val="00744DD2"/>
    <w:rsid w:val="007603DA"/>
    <w:rsid w:val="0076289C"/>
    <w:rsid w:val="00763F89"/>
    <w:rsid w:val="00787ECC"/>
    <w:rsid w:val="00792B80"/>
    <w:rsid w:val="007A273C"/>
    <w:rsid w:val="007A6153"/>
    <w:rsid w:val="007B63A2"/>
    <w:rsid w:val="007B6B64"/>
    <w:rsid w:val="007F2CF8"/>
    <w:rsid w:val="008005B7"/>
    <w:rsid w:val="0080390D"/>
    <w:rsid w:val="008166A0"/>
    <w:rsid w:val="00816FCD"/>
    <w:rsid w:val="00820931"/>
    <w:rsid w:val="008332D3"/>
    <w:rsid w:val="00842AA3"/>
    <w:rsid w:val="00847A25"/>
    <w:rsid w:val="008710E0"/>
    <w:rsid w:val="008729AA"/>
    <w:rsid w:val="00880E78"/>
    <w:rsid w:val="00884915"/>
    <w:rsid w:val="00897DA5"/>
    <w:rsid w:val="008C31B9"/>
    <w:rsid w:val="008C737E"/>
    <w:rsid w:val="008C790D"/>
    <w:rsid w:val="008E793E"/>
    <w:rsid w:val="008F12A4"/>
    <w:rsid w:val="008F14EB"/>
    <w:rsid w:val="008F184A"/>
    <w:rsid w:val="00905F4D"/>
    <w:rsid w:val="00933E34"/>
    <w:rsid w:val="00942C29"/>
    <w:rsid w:val="00962AC2"/>
    <w:rsid w:val="00970675"/>
    <w:rsid w:val="0099220E"/>
    <w:rsid w:val="009A1858"/>
    <w:rsid w:val="009A43E4"/>
    <w:rsid w:val="009D3395"/>
    <w:rsid w:val="009E06A4"/>
    <w:rsid w:val="009E7C2E"/>
    <w:rsid w:val="009F2D35"/>
    <w:rsid w:val="00A04129"/>
    <w:rsid w:val="00A05934"/>
    <w:rsid w:val="00A167F8"/>
    <w:rsid w:val="00A20BAC"/>
    <w:rsid w:val="00A2731B"/>
    <w:rsid w:val="00A37A38"/>
    <w:rsid w:val="00A4343C"/>
    <w:rsid w:val="00A5253D"/>
    <w:rsid w:val="00A80193"/>
    <w:rsid w:val="00A823F9"/>
    <w:rsid w:val="00A93C88"/>
    <w:rsid w:val="00A97C61"/>
    <w:rsid w:val="00AA74CA"/>
    <w:rsid w:val="00AB2B17"/>
    <w:rsid w:val="00AB4266"/>
    <w:rsid w:val="00AB4937"/>
    <w:rsid w:val="00AC43D0"/>
    <w:rsid w:val="00AC7743"/>
    <w:rsid w:val="00AD0672"/>
    <w:rsid w:val="00AF7F79"/>
    <w:rsid w:val="00B00DEA"/>
    <w:rsid w:val="00B029F7"/>
    <w:rsid w:val="00B05A72"/>
    <w:rsid w:val="00B308E2"/>
    <w:rsid w:val="00B57CF7"/>
    <w:rsid w:val="00B6244B"/>
    <w:rsid w:val="00B70D5B"/>
    <w:rsid w:val="00B745A7"/>
    <w:rsid w:val="00B824C7"/>
    <w:rsid w:val="00B9602F"/>
    <w:rsid w:val="00BA15F3"/>
    <w:rsid w:val="00BB6B4B"/>
    <w:rsid w:val="00BD2075"/>
    <w:rsid w:val="00BD6452"/>
    <w:rsid w:val="00BF0F1B"/>
    <w:rsid w:val="00BF7D26"/>
    <w:rsid w:val="00C101F0"/>
    <w:rsid w:val="00C26041"/>
    <w:rsid w:val="00C26427"/>
    <w:rsid w:val="00C2752E"/>
    <w:rsid w:val="00C33D4C"/>
    <w:rsid w:val="00C36B72"/>
    <w:rsid w:val="00C466DE"/>
    <w:rsid w:val="00C53D7F"/>
    <w:rsid w:val="00C61224"/>
    <w:rsid w:val="00C61C82"/>
    <w:rsid w:val="00C6361E"/>
    <w:rsid w:val="00C96262"/>
    <w:rsid w:val="00CA658E"/>
    <w:rsid w:val="00CB09A3"/>
    <w:rsid w:val="00CC46A4"/>
    <w:rsid w:val="00CD0A09"/>
    <w:rsid w:val="00CD7BFF"/>
    <w:rsid w:val="00CE14AD"/>
    <w:rsid w:val="00CE5DE1"/>
    <w:rsid w:val="00CF2994"/>
    <w:rsid w:val="00CF6C53"/>
    <w:rsid w:val="00D0106E"/>
    <w:rsid w:val="00D21F91"/>
    <w:rsid w:val="00D51658"/>
    <w:rsid w:val="00D53054"/>
    <w:rsid w:val="00D62919"/>
    <w:rsid w:val="00D633F3"/>
    <w:rsid w:val="00D65015"/>
    <w:rsid w:val="00D925F3"/>
    <w:rsid w:val="00DD0E9F"/>
    <w:rsid w:val="00DD37C8"/>
    <w:rsid w:val="00DD4F4B"/>
    <w:rsid w:val="00DE052F"/>
    <w:rsid w:val="00DE3612"/>
    <w:rsid w:val="00DE6716"/>
    <w:rsid w:val="00DF4C79"/>
    <w:rsid w:val="00E12D87"/>
    <w:rsid w:val="00E20296"/>
    <w:rsid w:val="00E34C9B"/>
    <w:rsid w:val="00E35025"/>
    <w:rsid w:val="00E41D28"/>
    <w:rsid w:val="00E87383"/>
    <w:rsid w:val="00EA2CFE"/>
    <w:rsid w:val="00EB1831"/>
    <w:rsid w:val="00EC6DBE"/>
    <w:rsid w:val="00EE0594"/>
    <w:rsid w:val="00EE4C1A"/>
    <w:rsid w:val="00EF3F96"/>
    <w:rsid w:val="00F0658C"/>
    <w:rsid w:val="00F158BC"/>
    <w:rsid w:val="00F30D92"/>
    <w:rsid w:val="00F32DBE"/>
    <w:rsid w:val="00F36F34"/>
    <w:rsid w:val="00F41F42"/>
    <w:rsid w:val="00F643FD"/>
    <w:rsid w:val="00F65037"/>
    <w:rsid w:val="00F7370E"/>
    <w:rsid w:val="00F77397"/>
    <w:rsid w:val="00FB5D90"/>
    <w:rsid w:val="00FC2CE9"/>
    <w:rsid w:val="00FC5164"/>
    <w:rsid w:val="00FD0E38"/>
    <w:rsid w:val="00FF1B13"/>
    <w:rsid w:val="00FF47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C2CA5"/>
  <w15:chartTrackingRefBased/>
  <w15:docId w15:val="{B70636DE-C760-4A25-A5E8-8ED920646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34AF0"/>
    <w:pPr>
      <w:keepNext/>
      <w:pageBreakBefore/>
      <w:numPr>
        <w:numId w:val="9"/>
      </w:numPr>
      <w:pBdr>
        <w:top w:val="single" w:sz="4" w:space="3" w:color="800000"/>
        <w:left w:val="single" w:sz="4" w:space="4" w:color="800000"/>
        <w:bottom w:val="single" w:sz="4" w:space="1" w:color="800000"/>
        <w:right w:val="single" w:sz="4" w:space="4" w:color="800000"/>
      </w:pBdr>
      <w:shd w:val="clear" w:color="auto" w:fill="800000"/>
      <w:spacing w:before="240" w:after="120" w:line="240" w:lineRule="auto"/>
      <w:ind w:left="266" w:hanging="357"/>
      <w:outlineLvl w:val="0"/>
    </w:pPr>
    <w:rPr>
      <w:rFonts w:ascii="Arial" w:eastAsia="Times New Roman" w:hAnsi="Arial" w:cs="Times New Roman"/>
      <w:b/>
      <w:color w:val="C0C0C0"/>
      <w:kern w:val="28"/>
      <w:sz w:val="28"/>
      <w:szCs w:val="28"/>
      <w:lang w:val="x-none" w:eastAsia="x-none"/>
    </w:rPr>
  </w:style>
  <w:style w:type="paragraph" w:styleId="Heading2">
    <w:name w:val="heading 2"/>
    <w:basedOn w:val="Normal"/>
    <w:next w:val="Normal"/>
    <w:link w:val="Heading2Char"/>
    <w:qFormat/>
    <w:rsid w:val="00534AF0"/>
    <w:pPr>
      <w:keepNext/>
      <w:numPr>
        <w:ilvl w:val="1"/>
        <w:numId w:val="9"/>
      </w:numPr>
      <w:spacing w:before="240" w:after="120" w:line="240" w:lineRule="auto"/>
      <w:outlineLvl w:val="1"/>
    </w:pPr>
    <w:rPr>
      <w:rFonts w:ascii="Arial" w:eastAsia="Times New Roman" w:hAnsi="Arial" w:cs="Times New Roman"/>
      <w:b/>
      <w:caps/>
      <w:color w:val="800000"/>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Use Case List Paragraph,Dot pt,F5 List Paragraph,List Paragraph1,No Spacing1,List Paragraph Char Char Char,Indicator Text,Numbered Para 1,Bullet 1,List Paragraph12,Bullet Points,MAIN CONTENT,List Paragraph11"/>
    <w:basedOn w:val="Normal"/>
    <w:link w:val="ListParagraphChar"/>
    <w:qFormat/>
    <w:rsid w:val="00CF6C53"/>
    <w:pPr>
      <w:ind w:left="720"/>
      <w:contextualSpacing/>
    </w:pPr>
  </w:style>
  <w:style w:type="table" w:styleId="TableGrid">
    <w:name w:val="Table Grid"/>
    <w:basedOn w:val="TableNormal"/>
    <w:uiPriority w:val="59"/>
    <w:rsid w:val="00884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A273C"/>
    <w:rPr>
      <w:sz w:val="16"/>
      <w:szCs w:val="16"/>
    </w:rPr>
  </w:style>
  <w:style w:type="paragraph" w:customStyle="1" w:styleId="CommentText1">
    <w:name w:val="Comment Text1"/>
    <w:basedOn w:val="Normal"/>
    <w:next w:val="CommentText"/>
    <w:link w:val="CommentTextChar"/>
    <w:uiPriority w:val="99"/>
    <w:unhideWhenUsed/>
    <w:rsid w:val="007A273C"/>
    <w:pPr>
      <w:spacing w:after="160" w:line="240" w:lineRule="auto"/>
    </w:pPr>
    <w:rPr>
      <w:sz w:val="20"/>
      <w:szCs w:val="20"/>
    </w:rPr>
  </w:style>
  <w:style w:type="character" w:customStyle="1" w:styleId="CommentTextChar">
    <w:name w:val="Comment Text Char"/>
    <w:basedOn w:val="DefaultParagraphFont"/>
    <w:link w:val="CommentText1"/>
    <w:uiPriority w:val="99"/>
    <w:rsid w:val="007A273C"/>
    <w:rPr>
      <w:kern w:val="0"/>
      <w:sz w:val="20"/>
      <w:szCs w:val="20"/>
      <w:lang w:val="en-US"/>
      <w14:ligatures w14:val="none"/>
    </w:rPr>
  </w:style>
  <w:style w:type="paragraph" w:styleId="CommentText">
    <w:name w:val="annotation text"/>
    <w:basedOn w:val="Normal"/>
    <w:link w:val="CommentTextChar1"/>
    <w:uiPriority w:val="99"/>
    <w:unhideWhenUsed/>
    <w:rsid w:val="007A273C"/>
    <w:pPr>
      <w:spacing w:line="240" w:lineRule="auto"/>
    </w:pPr>
    <w:rPr>
      <w:sz w:val="20"/>
      <w:szCs w:val="20"/>
    </w:rPr>
  </w:style>
  <w:style w:type="character" w:customStyle="1" w:styleId="CommentTextChar1">
    <w:name w:val="Comment Text Char1"/>
    <w:basedOn w:val="DefaultParagraphFont"/>
    <w:link w:val="CommentText"/>
    <w:uiPriority w:val="99"/>
    <w:rsid w:val="007A273C"/>
    <w:rPr>
      <w:sz w:val="20"/>
      <w:szCs w:val="20"/>
    </w:rPr>
  </w:style>
  <w:style w:type="paragraph" w:styleId="CommentSubject">
    <w:name w:val="annotation subject"/>
    <w:basedOn w:val="CommentText"/>
    <w:next w:val="CommentText"/>
    <w:link w:val="CommentSubjectChar"/>
    <w:uiPriority w:val="99"/>
    <w:semiHidden/>
    <w:unhideWhenUsed/>
    <w:rsid w:val="007A273C"/>
    <w:rPr>
      <w:b/>
      <w:bCs/>
    </w:rPr>
  </w:style>
  <w:style w:type="character" w:customStyle="1" w:styleId="CommentSubjectChar">
    <w:name w:val="Comment Subject Char"/>
    <w:basedOn w:val="CommentTextChar1"/>
    <w:link w:val="CommentSubject"/>
    <w:uiPriority w:val="99"/>
    <w:semiHidden/>
    <w:rsid w:val="007A273C"/>
    <w:rPr>
      <w:b/>
      <w:bCs/>
      <w:sz w:val="20"/>
      <w:szCs w:val="20"/>
    </w:rPr>
  </w:style>
  <w:style w:type="character" w:customStyle="1" w:styleId="ListParagraphChar">
    <w:name w:val="List Paragraph Char"/>
    <w:aliases w:val="List Paragraph (numbered (a)) Char,Use Case List Paragraph Char,Dot pt Char,F5 List Paragraph Char,List Paragraph1 Char,No Spacing1 Char,List Paragraph Char Char Char Char,Indicator Text Char,Numbered Para 1 Char,Bullet 1 Char"/>
    <w:basedOn w:val="DefaultParagraphFont"/>
    <w:link w:val="ListParagraph"/>
    <w:qFormat/>
    <w:rsid w:val="00EF3F96"/>
  </w:style>
  <w:style w:type="character" w:customStyle="1" w:styleId="Heading1Char">
    <w:name w:val="Heading 1 Char"/>
    <w:basedOn w:val="DefaultParagraphFont"/>
    <w:link w:val="Heading1"/>
    <w:rsid w:val="00534AF0"/>
    <w:rPr>
      <w:rFonts w:ascii="Arial" w:eastAsia="Times New Roman" w:hAnsi="Arial" w:cs="Times New Roman"/>
      <w:b/>
      <w:color w:val="C0C0C0"/>
      <w:kern w:val="28"/>
      <w:sz w:val="28"/>
      <w:szCs w:val="28"/>
      <w:shd w:val="clear" w:color="auto" w:fill="800000"/>
      <w:lang w:val="x-none" w:eastAsia="x-none"/>
    </w:rPr>
  </w:style>
  <w:style w:type="character" w:customStyle="1" w:styleId="Heading2Char">
    <w:name w:val="Heading 2 Char"/>
    <w:basedOn w:val="DefaultParagraphFont"/>
    <w:link w:val="Heading2"/>
    <w:rsid w:val="00534AF0"/>
    <w:rPr>
      <w:rFonts w:ascii="Arial" w:eastAsia="Times New Roman" w:hAnsi="Arial" w:cs="Times New Roman"/>
      <w:b/>
      <w:caps/>
      <w:color w:val="800000"/>
      <w:sz w:val="24"/>
      <w:szCs w:val="24"/>
      <w:lang w:val="x-none" w:eastAsia="x-none"/>
    </w:rPr>
  </w:style>
  <w:style w:type="paragraph" w:styleId="BalloonText">
    <w:name w:val="Balloon Text"/>
    <w:basedOn w:val="Normal"/>
    <w:link w:val="BalloonTextChar"/>
    <w:uiPriority w:val="99"/>
    <w:semiHidden/>
    <w:unhideWhenUsed/>
    <w:rsid w:val="00C61C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1C82"/>
    <w:rPr>
      <w:rFonts w:ascii="Segoe UI" w:hAnsi="Segoe UI" w:cs="Segoe UI"/>
      <w:sz w:val="18"/>
      <w:szCs w:val="18"/>
    </w:rPr>
  </w:style>
  <w:style w:type="paragraph" w:styleId="Header">
    <w:name w:val="header"/>
    <w:basedOn w:val="Normal"/>
    <w:link w:val="HeaderChar"/>
    <w:uiPriority w:val="99"/>
    <w:unhideWhenUsed/>
    <w:rsid w:val="00B624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244B"/>
  </w:style>
  <w:style w:type="paragraph" w:styleId="Footer">
    <w:name w:val="footer"/>
    <w:basedOn w:val="Normal"/>
    <w:link w:val="FooterChar"/>
    <w:uiPriority w:val="99"/>
    <w:unhideWhenUsed/>
    <w:rsid w:val="00B624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44B"/>
  </w:style>
  <w:style w:type="paragraph" w:customStyle="1" w:styleId="p1">
    <w:name w:val="p1"/>
    <w:basedOn w:val="Normal"/>
    <w:rsid w:val="00AC43D0"/>
    <w:pPr>
      <w:spacing w:after="0" w:line="240" w:lineRule="auto"/>
    </w:pPr>
    <w:rPr>
      <w:rFonts w:ascii=".AppleSystemUIFont" w:eastAsiaTheme="minorEastAsia" w:hAnsi=".AppleSystemUIFont" w:cs="Times New Roman"/>
      <w:sz w:val="29"/>
      <w:szCs w:val="29"/>
    </w:rPr>
  </w:style>
  <w:style w:type="character" w:customStyle="1" w:styleId="s1">
    <w:name w:val="s1"/>
    <w:basedOn w:val="DefaultParagraphFont"/>
    <w:rsid w:val="00AC43D0"/>
    <w:rPr>
      <w:rFonts w:ascii="UICTFontTextStyleBody" w:hAnsi="UICTFontTextStyleBody" w:hint="default"/>
      <w:b w:val="0"/>
      <w:bCs w:val="0"/>
      <w:i w:val="0"/>
      <w:iCs w:val="0"/>
      <w:sz w:val="29"/>
      <w:szCs w:val="29"/>
    </w:rPr>
  </w:style>
  <w:style w:type="paragraph" w:styleId="Revision">
    <w:name w:val="Revision"/>
    <w:hidden/>
    <w:uiPriority w:val="99"/>
    <w:semiHidden/>
    <w:rsid w:val="008166A0"/>
    <w:pPr>
      <w:spacing w:after="0" w:line="240" w:lineRule="auto"/>
    </w:pPr>
  </w:style>
  <w:style w:type="paragraph" w:customStyle="1" w:styleId="p2">
    <w:name w:val="p2"/>
    <w:basedOn w:val="Normal"/>
    <w:rsid w:val="0019164F"/>
    <w:pPr>
      <w:spacing w:after="0" w:line="240" w:lineRule="auto"/>
    </w:pPr>
    <w:rPr>
      <w:rFonts w:ascii=".AppleSystemUIFont" w:eastAsiaTheme="minorEastAsia" w:hAnsi=".AppleSystemUIFont" w:cs="Times New Roman"/>
      <w:sz w:val="29"/>
      <w:szCs w:val="29"/>
    </w:rPr>
  </w:style>
  <w:style w:type="paragraph" w:customStyle="1" w:styleId="li1">
    <w:name w:val="li1"/>
    <w:basedOn w:val="Normal"/>
    <w:rsid w:val="0019164F"/>
    <w:pPr>
      <w:spacing w:after="0" w:line="240" w:lineRule="auto"/>
    </w:pPr>
    <w:rPr>
      <w:rFonts w:ascii=".AppleSystemUIFont" w:eastAsiaTheme="minorEastAsia" w:hAnsi=".AppleSystemUIFont" w:cs="Times New Roman"/>
      <w:sz w:val="29"/>
      <w:szCs w:val="29"/>
    </w:rPr>
  </w:style>
  <w:style w:type="paragraph" w:customStyle="1" w:styleId="pf0">
    <w:name w:val="pf0"/>
    <w:basedOn w:val="Normal"/>
    <w:rsid w:val="00EE4C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EE4C1A"/>
    <w:rPr>
      <w:rFonts w:ascii="Segoe UI" w:hAnsi="Segoe UI" w:cs="Segoe UI" w:hint="default"/>
      <w:b/>
      <w:bCs/>
      <w:color w:val="37609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961208">
      <w:bodyDiv w:val="1"/>
      <w:marLeft w:val="0"/>
      <w:marRight w:val="0"/>
      <w:marTop w:val="0"/>
      <w:marBottom w:val="0"/>
      <w:divBdr>
        <w:top w:val="none" w:sz="0" w:space="0" w:color="auto"/>
        <w:left w:val="none" w:sz="0" w:space="0" w:color="auto"/>
        <w:bottom w:val="none" w:sz="0" w:space="0" w:color="auto"/>
        <w:right w:val="none" w:sz="0" w:space="0" w:color="auto"/>
      </w:divBdr>
    </w:div>
    <w:div w:id="1112893755">
      <w:bodyDiv w:val="1"/>
      <w:marLeft w:val="0"/>
      <w:marRight w:val="0"/>
      <w:marTop w:val="0"/>
      <w:marBottom w:val="0"/>
      <w:divBdr>
        <w:top w:val="none" w:sz="0" w:space="0" w:color="auto"/>
        <w:left w:val="none" w:sz="0" w:space="0" w:color="auto"/>
        <w:bottom w:val="none" w:sz="0" w:space="0" w:color="auto"/>
        <w:right w:val="none" w:sz="0" w:space="0" w:color="auto"/>
      </w:divBdr>
    </w:div>
    <w:div w:id="1821994000">
      <w:bodyDiv w:val="1"/>
      <w:marLeft w:val="0"/>
      <w:marRight w:val="0"/>
      <w:marTop w:val="0"/>
      <w:marBottom w:val="0"/>
      <w:divBdr>
        <w:top w:val="none" w:sz="0" w:space="0" w:color="auto"/>
        <w:left w:val="none" w:sz="0" w:space="0" w:color="auto"/>
        <w:bottom w:val="none" w:sz="0" w:space="0" w:color="auto"/>
        <w:right w:val="none" w:sz="0" w:space="0" w:color="auto"/>
      </w:divBdr>
    </w:div>
    <w:div w:id="200743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EEA9E94C448A47B42B3A061E176277" ma:contentTypeVersion="18" ma:contentTypeDescription="Create a new document." ma:contentTypeScope="" ma:versionID="3695210277686fc0350bcd96a441754e">
  <xsd:schema xmlns:xsd="http://www.w3.org/2001/XMLSchema" xmlns:xs="http://www.w3.org/2001/XMLSchema" xmlns:p="http://schemas.microsoft.com/office/2006/metadata/properties" xmlns:ns2="35f73b80-3aee-4e73-8bbe-3e879d0e9ac7" xmlns:ns3="cdfbcbef-a0d3-4af9-b3c9-bef79c145254" targetNamespace="http://schemas.microsoft.com/office/2006/metadata/properties" ma:root="true" ma:fieldsID="ce5fd963e81155b8bbddb24f23546085" ns2:_="" ns3:_="">
    <xsd:import namespace="35f73b80-3aee-4e73-8bbe-3e879d0e9ac7"/>
    <xsd:import namespace="cdfbcbef-a0d3-4af9-b3c9-bef79c14525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f73b80-3aee-4e73-8bbe-3e879d0e9a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024e0aa-6029-462f-8985-169c87e7cfc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fbcbef-a0d3-4af9-b3c9-bef79c14525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223f7a-0cc3-4502-a113-7d7d3344f44b}" ma:internalName="TaxCatchAll" ma:showField="CatchAllData" ma:web="cdfbcbef-a0d3-4af9-b3c9-bef79c1452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5f73b80-3aee-4e73-8bbe-3e879d0e9ac7">
      <Terms xmlns="http://schemas.microsoft.com/office/infopath/2007/PartnerControls"/>
    </lcf76f155ced4ddcb4097134ff3c332f>
    <TaxCatchAll xmlns="cdfbcbef-a0d3-4af9-b3c9-bef79c14525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C93139-EA61-4888-A23B-4D32EAD16C36}"/>
</file>

<file path=customXml/itemProps2.xml><?xml version="1.0" encoding="utf-8"?>
<ds:datastoreItem xmlns:ds="http://schemas.openxmlformats.org/officeDocument/2006/customXml" ds:itemID="{5FAC8353-5465-472D-BE12-E8CC8C29355E}">
  <ds:schemaRefs>
    <ds:schemaRef ds:uri="http://schemas.microsoft.com/office/2006/metadata/properties"/>
    <ds:schemaRef ds:uri="http://schemas.microsoft.com/office/infopath/2007/PartnerControls"/>
    <ds:schemaRef ds:uri="35f73b80-3aee-4e73-8bbe-3e879d0e9ac7"/>
    <ds:schemaRef ds:uri="cdfbcbef-a0d3-4af9-b3c9-bef79c145254"/>
  </ds:schemaRefs>
</ds:datastoreItem>
</file>

<file path=customXml/itemProps3.xml><?xml version="1.0" encoding="utf-8"?>
<ds:datastoreItem xmlns:ds="http://schemas.openxmlformats.org/officeDocument/2006/customXml" ds:itemID="{B86C1068-F025-41F9-A37F-1500236EEF05}">
  <ds:schemaRefs>
    <ds:schemaRef ds:uri="http://schemas.openxmlformats.org/officeDocument/2006/bibliography"/>
  </ds:schemaRefs>
</ds:datastoreItem>
</file>

<file path=customXml/itemProps4.xml><?xml version="1.0" encoding="utf-8"?>
<ds:datastoreItem xmlns:ds="http://schemas.openxmlformats.org/officeDocument/2006/customXml" ds:itemID="{7AC7818D-DAD5-4CFF-B4F7-BE3B6FCD52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2256</Words>
  <Characters>12863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Sawsan Qamhieh</dc:creator>
  <cp:keywords/>
  <dc:description/>
  <cp:lastModifiedBy>Sawsan Abu Alganam</cp:lastModifiedBy>
  <cp:revision>1</cp:revision>
  <cp:lastPrinted>2023-12-20T22:48:00Z</cp:lastPrinted>
  <dcterms:created xsi:type="dcterms:W3CDTF">2024-01-30T07:59:00Z</dcterms:created>
  <dcterms:modified xsi:type="dcterms:W3CDTF">2024-01-30T07:59:00Z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0x01010093EEA9E94C448A47B42B3A061E176277</vt:lpwstr>
  </property>
</Properties>
</file>