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72AC" w:rsidRPr="00A86AEE" w:rsidRDefault="00000000">
      <w:pPr>
        <w:spacing w:after="40"/>
        <w:jc w:val="center"/>
        <w:rPr>
          <w:rFonts w:ascii="Gill Sans MT" w:hAnsi="Gill Sans MT"/>
          <w:sz w:val="22"/>
        </w:rPr>
      </w:pPr>
      <w:r w:rsidRPr="00A86AEE">
        <w:rPr>
          <w:rFonts w:ascii="Gill Sans MT" w:hAnsi="Gill Sans MT"/>
          <w:b/>
          <w:color w:val="1F4E79"/>
          <w:sz w:val="22"/>
        </w:rPr>
        <w:t>TERMS OF REFERENCE (ToR)</w:t>
      </w:r>
    </w:p>
    <w:p w:rsidR="00D472AC" w:rsidRPr="00A86AEE" w:rsidRDefault="00000000">
      <w:pPr>
        <w:spacing w:after="40"/>
        <w:jc w:val="center"/>
        <w:rPr>
          <w:rFonts w:ascii="Gill Sans MT" w:hAnsi="Gill Sans MT"/>
          <w:sz w:val="22"/>
        </w:rPr>
      </w:pPr>
      <w:r w:rsidRPr="00A86AEE">
        <w:rPr>
          <w:rFonts w:ascii="Gill Sans MT" w:hAnsi="Gill Sans MT"/>
          <w:b/>
          <w:sz w:val="22"/>
        </w:rPr>
        <w:t>Individual Environmental and Social (E&amp;S) Technical Support Consultant</w:t>
      </w:r>
    </w:p>
    <w:p w:rsidR="00D472AC" w:rsidRPr="00A86AEE" w:rsidRDefault="00000000">
      <w:pPr>
        <w:spacing w:after="200"/>
        <w:jc w:val="center"/>
        <w:rPr>
          <w:rFonts w:ascii="Gill Sans MT" w:hAnsi="Gill Sans MT"/>
          <w:sz w:val="22"/>
        </w:rPr>
      </w:pPr>
      <w:r w:rsidRPr="00A86AEE">
        <w:rPr>
          <w:rFonts w:ascii="Gill Sans MT" w:hAnsi="Gill Sans MT"/>
          <w:b/>
          <w:color w:val="2F5597"/>
          <w:sz w:val="22"/>
        </w:rPr>
        <w:t>Jordan Health Sector Reform Program for Results (PforR) – GFPP</w:t>
      </w:r>
    </w:p>
    <w:tbl>
      <w:tblPr>
        <w:tblStyle w:val="TableGrid"/>
        <w:tblW w:w="0" w:type="auto"/>
        <w:jc w:val="center"/>
        <w:tblLayout w:type="fixed"/>
        <w:tblLook w:val="04A0" w:firstRow="1" w:lastRow="0" w:firstColumn="1" w:lastColumn="0" w:noHBand="0" w:noVBand="1"/>
      </w:tblPr>
      <w:tblGrid>
        <w:gridCol w:w="4939"/>
        <w:gridCol w:w="4939"/>
      </w:tblGrid>
      <w:tr w:rsidR="00D472AC" w:rsidRPr="00A86AEE">
        <w:trPr>
          <w:jc w:val="center"/>
        </w:trPr>
        <w:tc>
          <w:tcPr>
            <w:tcW w:w="4939" w:type="dxa"/>
            <w:shd w:val="clear" w:color="auto" w:fill="D9EAF7"/>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b/>
                <w:sz w:val="22"/>
              </w:rPr>
              <w:t>Contract Type</w:t>
            </w:r>
          </w:p>
        </w:tc>
        <w:tc>
          <w:tcPr>
            <w:tcW w:w="4939" w:type="dxa"/>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sz w:val="22"/>
              </w:rPr>
              <w:t>Time-based individual consultancy</w:t>
            </w:r>
          </w:p>
        </w:tc>
      </w:tr>
      <w:tr w:rsidR="00D472AC" w:rsidRPr="00A86AEE">
        <w:trPr>
          <w:jc w:val="center"/>
        </w:trPr>
        <w:tc>
          <w:tcPr>
            <w:tcW w:w="4939" w:type="dxa"/>
            <w:shd w:val="clear" w:color="auto" w:fill="D9EAF7"/>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b/>
                <w:sz w:val="22"/>
              </w:rPr>
              <w:t>Level of Effort</w:t>
            </w:r>
          </w:p>
        </w:tc>
        <w:tc>
          <w:tcPr>
            <w:tcW w:w="4939" w:type="dxa"/>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sz w:val="22"/>
              </w:rPr>
              <w:t xml:space="preserve">Up to </w:t>
            </w:r>
            <w:r w:rsidR="00A86AEE" w:rsidRPr="00A86AEE">
              <w:rPr>
                <w:rFonts w:ascii="Gill Sans MT" w:hAnsi="Gill Sans MT"/>
                <w:sz w:val="22"/>
              </w:rPr>
              <w:t>100</w:t>
            </w:r>
            <w:r w:rsidRPr="00A86AEE">
              <w:rPr>
                <w:rFonts w:ascii="Gill Sans MT" w:hAnsi="Gill Sans MT"/>
                <w:sz w:val="22"/>
              </w:rPr>
              <w:t xml:space="preserve"> working days</w:t>
            </w:r>
          </w:p>
        </w:tc>
      </w:tr>
      <w:tr w:rsidR="00D472AC" w:rsidRPr="00A86AEE">
        <w:trPr>
          <w:jc w:val="center"/>
        </w:trPr>
        <w:tc>
          <w:tcPr>
            <w:tcW w:w="4939" w:type="dxa"/>
            <w:shd w:val="clear" w:color="auto" w:fill="D9EAF7"/>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b/>
                <w:sz w:val="22"/>
              </w:rPr>
              <w:t>Contract Period</w:t>
            </w:r>
          </w:p>
        </w:tc>
        <w:tc>
          <w:tcPr>
            <w:tcW w:w="4939" w:type="dxa"/>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sz w:val="22"/>
              </w:rPr>
              <w:t>From contract commencement through January 2027</w:t>
            </w:r>
          </w:p>
        </w:tc>
      </w:tr>
      <w:tr w:rsidR="00D472AC" w:rsidRPr="00A86AEE">
        <w:trPr>
          <w:jc w:val="center"/>
        </w:trPr>
        <w:tc>
          <w:tcPr>
            <w:tcW w:w="4939" w:type="dxa"/>
            <w:shd w:val="clear" w:color="auto" w:fill="D9EAF7"/>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b/>
                <w:sz w:val="22"/>
              </w:rPr>
              <w:t>Payment Basis</w:t>
            </w:r>
          </w:p>
        </w:tc>
        <w:tc>
          <w:tcPr>
            <w:tcW w:w="4939" w:type="dxa"/>
            <w:tcMar>
              <w:top w:w="80" w:type="dxa"/>
              <w:left w:w="100" w:type="dxa"/>
              <w:bottom w:w="80" w:type="dxa"/>
              <w:right w:w="100" w:type="dxa"/>
            </w:tcMar>
            <w:vAlign w:val="center"/>
          </w:tcPr>
          <w:p w:rsidR="00D472AC" w:rsidRPr="00A86AEE" w:rsidRDefault="00000000">
            <w:pPr>
              <w:spacing w:after="0"/>
              <w:rPr>
                <w:rFonts w:ascii="Gill Sans MT" w:hAnsi="Gill Sans MT"/>
                <w:sz w:val="22"/>
              </w:rPr>
            </w:pPr>
            <w:r w:rsidRPr="00A86AEE">
              <w:rPr>
                <w:rFonts w:ascii="Gill Sans MT" w:hAnsi="Gill Sans MT"/>
                <w:sz w:val="22"/>
              </w:rPr>
              <w:t>Actual approved days worked, supported by monthly timesheets and a brief progress note</w:t>
            </w:r>
          </w:p>
        </w:tc>
      </w:tr>
    </w:tbl>
    <w:p w:rsidR="00D472AC" w:rsidRPr="00A86AEE" w:rsidRDefault="00000000">
      <w:pPr>
        <w:pStyle w:val="Heading1"/>
        <w:rPr>
          <w:rFonts w:ascii="Gill Sans MT" w:hAnsi="Gill Sans MT"/>
          <w:sz w:val="22"/>
          <w:szCs w:val="22"/>
        </w:rPr>
      </w:pPr>
      <w:r w:rsidRPr="00A86AEE">
        <w:rPr>
          <w:rFonts w:ascii="Gill Sans MT" w:hAnsi="Gill Sans MT"/>
          <w:sz w:val="22"/>
          <w:szCs w:val="22"/>
        </w:rPr>
        <w:t>1. Background</w:t>
      </w:r>
    </w:p>
    <w:p w:rsidR="00D472AC" w:rsidRPr="00A86AEE" w:rsidRDefault="00000000">
      <w:pPr>
        <w:rPr>
          <w:rFonts w:ascii="Gill Sans MT" w:hAnsi="Gill Sans MT"/>
          <w:sz w:val="22"/>
        </w:rPr>
      </w:pPr>
      <w:r w:rsidRPr="00A86AEE">
        <w:rPr>
          <w:rFonts w:ascii="Gill Sans MT" w:hAnsi="Gill Sans MT"/>
          <w:sz w:val="22"/>
        </w:rPr>
        <w:t>The Jordan Health Sector Reform Program for Results (PforR) aims to improve the efficiency, equity, and sustainability of public health spending and strengthen the quality, accessibility, and resilience of primary healthcare services. The Program is aligned with Jordan’s Economic Modernization Vision 2033 and the Ministry of Health (MoH) Universal Health Coverage Roadmap.</w:t>
      </w:r>
    </w:p>
    <w:p w:rsidR="00D472AC" w:rsidRPr="00A86AEE" w:rsidRDefault="00000000">
      <w:pPr>
        <w:rPr>
          <w:rFonts w:ascii="Gill Sans MT" w:hAnsi="Gill Sans MT"/>
          <w:sz w:val="22"/>
        </w:rPr>
      </w:pPr>
      <w:r w:rsidRPr="00A86AEE">
        <w:rPr>
          <w:rFonts w:ascii="Gill Sans MT" w:hAnsi="Gill Sans MT"/>
          <w:sz w:val="22"/>
        </w:rPr>
        <w:t>Environmental and social (E&amp;S) performance is an important enabler of the Program. The Environmental and Social Systems Assessment (ESSA) and the Program Action Plan (PAP) identify priority actions related to healthcare waste management, occupational health and safety (OHS), facility accessibility and safety, emergency preparedness, climate resilience, social inclusion, accessibility of digital health services, grievance redress mechanisms (GRM), and prevention and response to sexual exploitation, abuse, and sexual harassment (SEA/SH).</w:t>
      </w:r>
    </w:p>
    <w:p w:rsidR="00D472AC" w:rsidRPr="00A86AEE" w:rsidRDefault="00000000">
      <w:pPr>
        <w:rPr>
          <w:rFonts w:ascii="Gill Sans MT" w:hAnsi="Gill Sans MT"/>
          <w:sz w:val="22"/>
        </w:rPr>
      </w:pPr>
      <w:r w:rsidRPr="00A86AEE">
        <w:rPr>
          <w:rFonts w:ascii="Gill Sans MT" w:hAnsi="Gill Sans MT"/>
          <w:sz w:val="22"/>
        </w:rPr>
        <w:t>Under the Grant Facility for Project Preparation (GFPP), MoH will engage a specialized firm to implement the Environmental and Social Support Services assignment. MoH requires an individual consultant to serve as its technical counterpart and provide day-to-day follow-up, coordination, monitoring, and quality assurance for the firm’s work and for related E&amp;S activities under the Program.</w:t>
      </w:r>
    </w:p>
    <w:p w:rsidR="00D472AC" w:rsidRPr="00A86AEE" w:rsidRDefault="00000000">
      <w:pPr>
        <w:pStyle w:val="Heading1"/>
        <w:rPr>
          <w:rFonts w:ascii="Gill Sans MT" w:hAnsi="Gill Sans MT"/>
          <w:sz w:val="22"/>
          <w:szCs w:val="22"/>
        </w:rPr>
      </w:pPr>
      <w:r w:rsidRPr="00A86AEE">
        <w:rPr>
          <w:rFonts w:ascii="Gill Sans MT" w:hAnsi="Gill Sans MT"/>
          <w:sz w:val="22"/>
          <w:szCs w:val="22"/>
        </w:rPr>
        <w:t>2. Objective of the Assignment</w:t>
      </w:r>
    </w:p>
    <w:p w:rsidR="00D472AC" w:rsidRPr="00A86AEE" w:rsidRDefault="00000000">
      <w:pPr>
        <w:rPr>
          <w:rFonts w:ascii="Gill Sans MT" w:hAnsi="Gill Sans MT"/>
          <w:sz w:val="22"/>
        </w:rPr>
      </w:pPr>
      <w:r w:rsidRPr="00A86AEE">
        <w:rPr>
          <w:rFonts w:ascii="Gill Sans MT" w:hAnsi="Gill Sans MT"/>
          <w:sz w:val="22"/>
        </w:rPr>
        <w:t>The objective of this assignment is to provide MoH with dedicated technical support to oversee and follow up the implementation of the Environmental and Social Support Services contract and associated ESSA PAP actions. The consultant will help ensure that the contracted firm’s methodologies, activities, systems, consultations, training, and technical outputs are timely, practical, technically sound, consistent with the approved Terms of Reference, and aligned with MoH priorities, applicable Jordanian requirements, and relevant World Bank standards.</w:t>
      </w:r>
    </w:p>
    <w:p w:rsidR="00D472AC" w:rsidRPr="00A86AEE" w:rsidRDefault="00000000">
      <w:pPr>
        <w:rPr>
          <w:rFonts w:ascii="Gill Sans MT" w:hAnsi="Gill Sans MT"/>
          <w:sz w:val="22"/>
        </w:rPr>
      </w:pPr>
      <w:r w:rsidRPr="00A86AEE">
        <w:rPr>
          <w:rFonts w:ascii="Gill Sans MT" w:hAnsi="Gill Sans MT"/>
          <w:sz w:val="22"/>
        </w:rPr>
        <w:t>The consultant will support MoH as a technical adviser and reviewer and will not replace, duplicate, or assume the contractual responsibilities of the firm engaged to implement the E&amp;S Support Services assignment.</w:t>
      </w:r>
    </w:p>
    <w:p w:rsidR="00D472AC" w:rsidRPr="00A86AEE" w:rsidRDefault="00000000">
      <w:pPr>
        <w:pStyle w:val="Heading1"/>
        <w:rPr>
          <w:rFonts w:ascii="Gill Sans MT" w:hAnsi="Gill Sans MT"/>
          <w:sz w:val="22"/>
          <w:szCs w:val="22"/>
        </w:rPr>
      </w:pPr>
      <w:r w:rsidRPr="00A86AEE">
        <w:rPr>
          <w:rFonts w:ascii="Gill Sans MT" w:hAnsi="Gill Sans MT"/>
          <w:sz w:val="22"/>
          <w:szCs w:val="22"/>
        </w:rPr>
        <w:t>3. Scope of Work</w:t>
      </w:r>
    </w:p>
    <w:p w:rsidR="00D472AC" w:rsidRPr="00A86AEE" w:rsidRDefault="00000000">
      <w:pPr>
        <w:rPr>
          <w:rFonts w:ascii="Gill Sans MT" w:hAnsi="Gill Sans MT"/>
          <w:sz w:val="22"/>
        </w:rPr>
      </w:pPr>
      <w:r w:rsidRPr="00A86AEE">
        <w:rPr>
          <w:rFonts w:ascii="Gill Sans MT" w:hAnsi="Gill Sans MT"/>
          <w:sz w:val="22"/>
        </w:rPr>
        <w:t>Working under the direction of MoH, the consultant shall undertake the following responsibilities:</w:t>
      </w:r>
    </w:p>
    <w:p w:rsidR="00D472AC" w:rsidRPr="00A86AEE" w:rsidRDefault="00000000">
      <w:pPr>
        <w:pStyle w:val="Heading2"/>
        <w:rPr>
          <w:rFonts w:ascii="Gill Sans MT" w:hAnsi="Gill Sans MT"/>
          <w:sz w:val="22"/>
          <w:szCs w:val="22"/>
        </w:rPr>
      </w:pPr>
      <w:r w:rsidRPr="00A86AEE">
        <w:rPr>
          <w:rFonts w:ascii="Gill Sans MT" w:hAnsi="Gill Sans MT"/>
          <w:sz w:val="22"/>
          <w:szCs w:val="22"/>
        </w:rPr>
        <w:t>3.1 Work Planning and Contract Mobilization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Review the contracted firm’s inception report, detailed methodology, staffing arrangements, work plan, implementation schedule, stakeholder engagement approach, sampling strategy, and quality assurance arrangements.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Support MoH in confirming technical priorities, sequencing activities, identifying responsible directorates and focal points, and establishing realistic review and decision timelines.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lastRenderedPageBreak/>
        <w:t>Establish and maintain a concise tracking matrix covering contractual tasks, ESSA PAP actions, deadlines, responsible parties, review status, key risks, and follow-up actions.</w:t>
      </w:r>
    </w:p>
    <w:p w:rsidR="00D472AC" w:rsidRPr="00A86AEE" w:rsidRDefault="00000000">
      <w:pPr>
        <w:pStyle w:val="Heading2"/>
        <w:rPr>
          <w:rFonts w:ascii="Gill Sans MT" w:hAnsi="Gill Sans MT"/>
          <w:sz w:val="22"/>
          <w:szCs w:val="22"/>
        </w:rPr>
      </w:pPr>
      <w:r w:rsidRPr="00A86AEE">
        <w:rPr>
          <w:rFonts w:ascii="Gill Sans MT" w:hAnsi="Gill Sans MT"/>
          <w:sz w:val="22"/>
          <w:szCs w:val="22"/>
        </w:rPr>
        <w:t>3.2 Technical Follow-up of Environmental Workstreams</w:t>
      </w:r>
    </w:p>
    <w:p w:rsidR="00D472AC" w:rsidRPr="00A86AEE" w:rsidRDefault="00000000">
      <w:pPr>
        <w:rPr>
          <w:rFonts w:ascii="Gill Sans MT" w:hAnsi="Gill Sans MT"/>
          <w:sz w:val="22"/>
        </w:rPr>
      </w:pPr>
      <w:r w:rsidRPr="00A86AEE">
        <w:rPr>
          <w:rFonts w:ascii="Gill Sans MT" w:hAnsi="Gill Sans MT"/>
          <w:sz w:val="22"/>
        </w:rPr>
        <w:t>Provide technical review, follow-up, and advice across the environmental components of the firm’s assignment, including:</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Healthcare waste management assessments, including regulatory and institutional arrangements, waste streams, infrastructure, operational practices, resource efficiency, capacity gaps, monitoring, and emergency preparedness.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Development and operationalization of the Healthcare Waste Management Plan (HCWMP), related standard operating procedures (SOPs), monitoring tools, records, and measures for waste reduction, segregation, recycling, sustainable procurement, and management of healthcare, hazardous, chemical, pharmaceutical, electronic, and domestic waste.</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Development and testing of the centralized waste record-keeping and tracking solution, including data fields, workflows, user roles, reporting, traceability, internal audit requirements, and feasible linkage with procurement and asset management systems.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Development and institutionalization of OHS protocols, including risk assessment, incident reporting and investigation, compliance monitoring, corrective actions, and integration into the Program Operations Manual (POM).</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Development of the national framework for facility accessibility, safety, climate resilience, environmental sustainability, and emergency preparedness; related audit tools, guidance notes, safety assessments, and corrective action planning.</w:t>
      </w:r>
    </w:p>
    <w:p w:rsidR="00D472AC" w:rsidRPr="00A86AEE" w:rsidRDefault="00000000">
      <w:pPr>
        <w:pStyle w:val="Heading2"/>
        <w:rPr>
          <w:rFonts w:ascii="Gill Sans MT" w:hAnsi="Gill Sans MT"/>
          <w:sz w:val="22"/>
          <w:szCs w:val="22"/>
        </w:rPr>
      </w:pPr>
      <w:r w:rsidRPr="00A86AEE">
        <w:rPr>
          <w:rFonts w:ascii="Gill Sans MT" w:hAnsi="Gill Sans MT"/>
          <w:sz w:val="22"/>
          <w:szCs w:val="22"/>
        </w:rPr>
        <w:t>3.3 Technical Follow-up of Social Workstreams</w:t>
      </w:r>
    </w:p>
    <w:p w:rsidR="00D472AC" w:rsidRPr="00A86AEE" w:rsidRDefault="00000000">
      <w:pPr>
        <w:rPr>
          <w:rFonts w:ascii="Gill Sans MT" w:hAnsi="Gill Sans MT"/>
          <w:sz w:val="22"/>
        </w:rPr>
      </w:pPr>
      <w:r w:rsidRPr="00A86AEE">
        <w:rPr>
          <w:rFonts w:ascii="Gill Sans MT" w:hAnsi="Gill Sans MT"/>
          <w:sz w:val="22"/>
        </w:rPr>
        <w:t>Provide technical review, follow-up, and advice across the social components of the firm’s assignment, including:</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Strengthening MoH grievance redress mechanisms, including gap analysis, survivor-centered complaint-handling SOPs, confidentiality requirements, referral pathways, SEA/SH risk mitigation and response, and training and mentoring of focal points.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Assessment of barriers to equitable access to digital health services, particularly for women, persons with disabilities, older persons, and populations in remote or low-connectivity areas.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Development of accessibility and inclusion guidelines and measurable indicators for digital health services, including telemedicine, e-billing, referral systems, and relevant mobile or web-based platforms.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Development and application of stakeholder consultation and disclosure procedures for major service reforms, and coordination of consultations with relevant MoH directorates, service users, civil society, and other stakeholders.</w:t>
      </w:r>
    </w:p>
    <w:p w:rsidR="00D472AC" w:rsidRPr="00A86AEE" w:rsidRDefault="00000000">
      <w:pPr>
        <w:pStyle w:val="Heading2"/>
        <w:rPr>
          <w:rFonts w:ascii="Gill Sans MT" w:hAnsi="Gill Sans MT"/>
          <w:sz w:val="22"/>
          <w:szCs w:val="22"/>
        </w:rPr>
      </w:pPr>
      <w:r w:rsidRPr="00A86AEE">
        <w:rPr>
          <w:rFonts w:ascii="Gill Sans MT" w:hAnsi="Gill Sans MT"/>
          <w:sz w:val="22"/>
          <w:szCs w:val="22"/>
        </w:rPr>
        <w:t>3.4 Review and Quality Assurance of the Firm’s Outputs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Conduct structured technical reviews of draft and final documents, tools, systems, training materials, consultation records, field findings, and other outputs submitted by the contracted firm in Arabic and English.</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Prepare clear consolidated comments, track how comments are addressed, identify remaining gaps, and advise MoH on whether an output is technically acceptable, requires revision, or needs further evidence or consultation.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Check consistency across outputs and verify that proposed measures are feasible, implementable, appropriately costed or resourced, and suitable for institutional adoption by MoH.</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Support MoH in review meetings with MOPIC, the World Bank, the contracted firm, and relevant technical stakeholders, and document decisions and agreed follow-up actions.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lastRenderedPageBreak/>
        <w:t>Promote alignment of the E&amp;S outputs with the ESSA PAP, POM, national regulations, existing MoH policies and systems, and related health sector reforms.</w:t>
      </w:r>
    </w:p>
    <w:p w:rsidR="00D472AC" w:rsidRPr="00A86AEE" w:rsidRDefault="00000000">
      <w:pPr>
        <w:pStyle w:val="Heading2"/>
        <w:rPr>
          <w:rFonts w:ascii="Gill Sans MT" w:hAnsi="Gill Sans MT"/>
          <w:sz w:val="22"/>
          <w:szCs w:val="22"/>
        </w:rPr>
      </w:pPr>
      <w:r w:rsidRPr="00A86AEE">
        <w:rPr>
          <w:rFonts w:ascii="Gill Sans MT" w:hAnsi="Gill Sans MT"/>
          <w:sz w:val="22"/>
          <w:szCs w:val="22"/>
        </w:rPr>
        <w:t>3.5 Implementation Monitoring, Field Follow-up, and Coordination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Monitor progress against the approved work plan and identify delays, technical risks, coordination gaps, resource constraints, and other issues that may affect timely completion.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Participate in regular technical and coordination meetings and follow up agreed actions with MoH directorates, MOPIC, the World Bank, the contracted firm, healthcare facilities, and other relevant entities.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Undertake selected field visits, when requested and approved by MoH, to observe assessments, audits, consultations, training, system testing, or implementation activities and provide written observations and recommendations.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Support access to relevant MoH information and stakeholders, while ensuring that data requests, consultations, and field activities are coordinated efficiently and do not create unnecessary burdens on facilities.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Maintain organized records of submissions, comments, approvals, meeting notes, action logs, and final versions of all E&amp;S documents and tools.</w:t>
      </w:r>
    </w:p>
    <w:p w:rsidR="00D472AC" w:rsidRPr="00A86AEE" w:rsidRDefault="00000000">
      <w:pPr>
        <w:pStyle w:val="Heading2"/>
        <w:rPr>
          <w:rFonts w:ascii="Gill Sans MT" w:hAnsi="Gill Sans MT"/>
          <w:sz w:val="22"/>
          <w:szCs w:val="22"/>
        </w:rPr>
      </w:pPr>
      <w:r w:rsidRPr="00A86AEE">
        <w:rPr>
          <w:rFonts w:ascii="Gill Sans MT" w:hAnsi="Gill Sans MT"/>
          <w:sz w:val="22"/>
          <w:szCs w:val="22"/>
        </w:rPr>
        <w:t>3.6 Capacity Building and Institutionalization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Advise on the training needs assessment, training plans, materials, delivery methods, target groups, geographic coverage, and documentation of capacity-building activities.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Provide technical mentoring and knowledge transfer to designated MoH focal points to strengthen internal capacity for E&amp;S risk management, monitoring, reporting, and contract follow-up.</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Support the integration and formal adoption of agreed E&amp;S procedures, protocols, systems, indicators, and guidance within MoH manuals, operating procedures, and relevant Program arrangements.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Identify sustainability measures, institutional responsibilities, and priority follow-up actions required after completion of the firm’s assignment.</w:t>
      </w:r>
    </w:p>
    <w:p w:rsidR="00D472AC" w:rsidRPr="00A86AEE" w:rsidRDefault="00000000">
      <w:pPr>
        <w:pStyle w:val="Heading1"/>
        <w:rPr>
          <w:rFonts w:ascii="Gill Sans MT" w:hAnsi="Gill Sans MT"/>
          <w:sz w:val="22"/>
          <w:szCs w:val="22"/>
        </w:rPr>
      </w:pPr>
      <w:r w:rsidRPr="00A86AEE">
        <w:rPr>
          <w:rFonts w:ascii="Gill Sans MT" w:hAnsi="Gill Sans MT"/>
          <w:sz w:val="22"/>
          <w:szCs w:val="22"/>
        </w:rPr>
        <w:t>4. Reporting and Required Documentation</w:t>
      </w:r>
    </w:p>
    <w:p w:rsidR="00D472AC" w:rsidRPr="00A86AEE" w:rsidRDefault="00000000">
      <w:pPr>
        <w:rPr>
          <w:rFonts w:ascii="Gill Sans MT" w:hAnsi="Gill Sans MT"/>
          <w:sz w:val="22"/>
        </w:rPr>
      </w:pPr>
      <w:r w:rsidRPr="00A86AEE">
        <w:rPr>
          <w:rFonts w:ascii="Gill Sans MT" w:hAnsi="Gill Sans MT"/>
          <w:sz w:val="22"/>
        </w:rPr>
        <w:t>The consultancy is time-based and payments are not linked to individual technical deliverables. For accountability and contract management, the consultant shall provide the following concise documentation: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 monthly timesheet showing dates worked, activities undertaken, and the number of days claimed.</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 xml:space="preserve">A brief monthly progress </w:t>
      </w:r>
      <w:proofErr w:type="gramStart"/>
      <w:r w:rsidRPr="00A86AEE">
        <w:rPr>
          <w:rFonts w:ascii="Gill Sans MT" w:hAnsi="Gill Sans MT"/>
          <w:sz w:val="22"/>
        </w:rPr>
        <w:t>note</w:t>
      </w:r>
      <w:proofErr w:type="gramEnd"/>
      <w:r w:rsidRPr="00A86AEE">
        <w:rPr>
          <w:rFonts w:ascii="Gill Sans MT" w:hAnsi="Gill Sans MT"/>
          <w:sz w:val="22"/>
        </w:rPr>
        <w:t xml:space="preserve"> summarizing work completed, key findings, decisions required, risks, and priority follow-up actions.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Technical review notes, consolidated comment matrices, meeting records, field visit notes, and tracking tools as needed during the assignment.</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 short end-of-assignment report summarizing the status of the E&amp;S contract, completed and pending actions, major technical issues, institutional recommendations, and priorities beyond January 2027.</w:t>
      </w:r>
    </w:p>
    <w:p w:rsidR="00D472AC" w:rsidRPr="00A86AEE" w:rsidRDefault="00000000">
      <w:pPr>
        <w:pStyle w:val="Heading1"/>
        <w:rPr>
          <w:rFonts w:ascii="Gill Sans MT" w:hAnsi="Gill Sans MT"/>
          <w:sz w:val="22"/>
          <w:szCs w:val="22"/>
        </w:rPr>
      </w:pPr>
      <w:r w:rsidRPr="00A86AEE">
        <w:rPr>
          <w:rFonts w:ascii="Gill Sans MT" w:hAnsi="Gill Sans MT"/>
          <w:sz w:val="22"/>
          <w:szCs w:val="22"/>
        </w:rPr>
        <w:t>5. Institutional Arrangements</w:t>
      </w:r>
    </w:p>
    <w:p w:rsidR="00D472AC" w:rsidRPr="00A86AEE" w:rsidRDefault="00000000">
      <w:pPr>
        <w:rPr>
          <w:rFonts w:ascii="Gill Sans MT" w:hAnsi="Gill Sans MT"/>
          <w:sz w:val="22"/>
        </w:rPr>
      </w:pPr>
      <w:r w:rsidRPr="00A86AEE">
        <w:rPr>
          <w:rFonts w:ascii="Gill Sans MT" w:hAnsi="Gill Sans MT"/>
          <w:sz w:val="22"/>
        </w:rPr>
        <w:t>The consultant shall report to the Head of the Directorate for Project Management, Planning, and International Cooperation (PMPIC) at the Ministry of Health, or another official designated by MoH. The consultant shall work closely with relevant MoH directorates and focal points and coordinate, as requested, with MOPIC, the World Bank, the contracted E&amp;S firm, healthcare facilities, and other stakeholders.</w:t>
      </w:r>
    </w:p>
    <w:p w:rsidR="00D472AC" w:rsidRPr="00A86AEE" w:rsidRDefault="00000000">
      <w:pPr>
        <w:rPr>
          <w:rFonts w:ascii="Gill Sans MT" w:hAnsi="Gill Sans MT"/>
          <w:sz w:val="22"/>
        </w:rPr>
      </w:pPr>
      <w:r w:rsidRPr="00A86AEE">
        <w:rPr>
          <w:rFonts w:ascii="Gill Sans MT" w:hAnsi="Gill Sans MT"/>
          <w:sz w:val="22"/>
        </w:rPr>
        <w:t>MoH will provide strategic direction, facilitate access to relevant documents and stakeholders, review the consultant’s recommendations, and certify approved working days. The consultant may provide technical recommendations but shall not independently approve contractual deliverables, authorize payments, or issue instructions that modify the contracted firm’s obligations unless formally authorized by MoH and the contracting authority.</w:t>
      </w:r>
    </w:p>
    <w:p w:rsidR="00D472AC" w:rsidRPr="00A86AEE" w:rsidRDefault="00000000">
      <w:pPr>
        <w:pStyle w:val="Heading1"/>
        <w:rPr>
          <w:rFonts w:ascii="Gill Sans MT" w:hAnsi="Gill Sans MT"/>
          <w:sz w:val="22"/>
          <w:szCs w:val="22"/>
        </w:rPr>
      </w:pPr>
      <w:r w:rsidRPr="00A86AEE">
        <w:rPr>
          <w:rFonts w:ascii="Gill Sans MT" w:hAnsi="Gill Sans MT"/>
          <w:sz w:val="22"/>
          <w:szCs w:val="22"/>
        </w:rPr>
        <w:lastRenderedPageBreak/>
        <w:t>6. Level of Effort, Duration, and Work Modality</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maximum level of effort is 100 working days.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assignment will commence upon contract effectiveness and shall end no later than January 2027.</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consultancy will be performed on a part-time and demand-driven basis according to an agreed monthly work schedule and the needs of MoH.</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consultant may be required to work at MoH premises, remotely, and at healthcare facilities or meeting locations within Jordan, subject to prior coordination and approval.</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100 working days constitute a maximum ceiling and shall not be exceeded without a formal contract amendment.</w:t>
      </w:r>
    </w:p>
    <w:p w:rsidR="00D472AC" w:rsidRPr="00A86AEE" w:rsidRDefault="00000000">
      <w:pPr>
        <w:pStyle w:val="Heading1"/>
        <w:rPr>
          <w:rFonts w:ascii="Gill Sans MT" w:hAnsi="Gill Sans MT"/>
          <w:sz w:val="22"/>
          <w:szCs w:val="22"/>
        </w:rPr>
      </w:pPr>
      <w:r w:rsidRPr="00A86AEE">
        <w:rPr>
          <w:rFonts w:ascii="Gill Sans MT" w:hAnsi="Gill Sans MT"/>
          <w:sz w:val="22"/>
          <w:szCs w:val="22"/>
        </w:rPr>
        <w:t>7. Payment Arrangements</w:t>
      </w:r>
    </w:p>
    <w:p w:rsidR="00D472AC" w:rsidRPr="00A86AEE" w:rsidRDefault="00000000">
      <w:pPr>
        <w:rPr>
          <w:rFonts w:ascii="Gill Sans MT" w:hAnsi="Gill Sans MT"/>
          <w:sz w:val="22"/>
        </w:rPr>
      </w:pPr>
      <w:r w:rsidRPr="00A86AEE">
        <w:rPr>
          <w:rFonts w:ascii="Gill Sans MT" w:hAnsi="Gill Sans MT"/>
          <w:sz w:val="22"/>
        </w:rPr>
        <w:t>This shall be a time-based consultancy contract. Payment will be calculated using the agreed daily professional fee multiplied by the number of actual working days completed and approved during the relevant billing period, up to a maximum of 100 days.</w:t>
      </w:r>
    </w:p>
    <w:p w:rsidR="00D472AC" w:rsidRPr="00A86AEE" w:rsidRDefault="00000000">
      <w:pPr>
        <w:rPr>
          <w:rFonts w:ascii="Gill Sans MT" w:hAnsi="Gill Sans MT"/>
          <w:sz w:val="22"/>
        </w:rPr>
      </w:pPr>
      <w:r w:rsidRPr="00A86AEE">
        <w:rPr>
          <w:rFonts w:ascii="Gill Sans MT" w:hAnsi="Gill Sans MT"/>
          <w:sz w:val="22"/>
        </w:rPr>
        <w:t>Payments will normally be processed monthly upon submission and approval of: (i) the consultant’s invoice; (ii) an approved monthly timesheet; and (iii) the brief monthly progress note. Payment is not tied to the acceptance of the contracted firm’s deliverables and no deliverable-based payment percentages shall apply. All payments remain subject to the applicable contract conditions and certification by the authorized MoH and contracting-authority representatives.</w:t>
      </w:r>
    </w:p>
    <w:p w:rsidR="00D472AC" w:rsidRPr="00A86AEE" w:rsidRDefault="00000000">
      <w:pPr>
        <w:pStyle w:val="Heading1"/>
        <w:rPr>
          <w:rFonts w:ascii="Gill Sans MT" w:hAnsi="Gill Sans MT"/>
          <w:sz w:val="22"/>
          <w:szCs w:val="22"/>
        </w:rPr>
      </w:pPr>
      <w:r w:rsidRPr="00A86AEE">
        <w:rPr>
          <w:rFonts w:ascii="Gill Sans MT" w:hAnsi="Gill Sans MT"/>
          <w:sz w:val="22"/>
          <w:szCs w:val="22"/>
        </w:rPr>
        <w:t>8. Required Qualifications and Experience</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An advanced university degree (master’s degree or higher) in environmental science, environmental engineering, environmental management, social development, occupational health and safety, public health, or another field directly relevant to environmental and social risk management.</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At least 10 years of progressively responsible professional experience in environmental and social risk management, safeguards, systems strengthening, or related advisory and implementation support.</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Demonstrated experience in technically reviewing, supervising, coordinating, or quality-assuring complex consulting assignments, preferably in the health sector or public-sector reform programs.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Strong working knowledge of healthcare waste management, OHS, facility safety and emergency preparedness, climate resilience and environmental sustainability, stakeholder engagement, social inclusion and accessibility, GRM, and SEA/SH risk management.</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Demonstrated familiarity with the World Bank Environmental and Social Framework (ESF), Program-for-Results environmental and social requirements, ESSA/PAP implementation, and relevant Jordanian environmental and social regulations.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Experience working with government institutions and coordinating with multiple directorates, development partners, consulting firms, and service-delivery facilities.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Excellent analytical, organizational, drafting, facilitation, and communication skills, with professional proficiency in both Arabic and English.</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Previous experience in Jordan’s health sector and familiarity with MoH systems and institutional arrangements will be considered an advantage.</w:t>
      </w:r>
    </w:p>
    <w:p w:rsidR="00A86AEE" w:rsidRPr="00A86AEE" w:rsidRDefault="00A86AEE" w:rsidP="00A86AEE">
      <w:pPr>
        <w:pStyle w:val="ListBullet"/>
        <w:numPr>
          <w:ilvl w:val="0"/>
          <w:numId w:val="0"/>
        </w:numPr>
        <w:spacing w:after="40"/>
        <w:ind w:left="360" w:hanging="360"/>
        <w:rPr>
          <w:rFonts w:ascii="Gill Sans MT" w:hAnsi="Gill Sans MT"/>
          <w:sz w:val="22"/>
        </w:rPr>
      </w:pPr>
    </w:p>
    <w:p w:rsidR="00A86AEE" w:rsidRPr="00A86AEE" w:rsidRDefault="00A86AEE" w:rsidP="00A86AEE">
      <w:pPr>
        <w:pStyle w:val="Heading2"/>
        <w:rPr>
          <w:rFonts w:ascii="Gill Sans MT" w:hAnsi="Gill Sans MT"/>
          <w:sz w:val="22"/>
          <w:szCs w:val="22"/>
        </w:rPr>
      </w:pPr>
      <w:bookmarkStart w:id="0" w:name="evaluation-criteria"/>
      <w:r w:rsidRPr="00A86AEE">
        <w:rPr>
          <w:rFonts w:ascii="Gill Sans MT" w:hAnsi="Gill Sans MT"/>
          <w:sz w:val="22"/>
          <w:szCs w:val="22"/>
        </w:rPr>
        <w:t>9. Evaluation Criteria</w:t>
      </w:r>
    </w:p>
    <w:p w:rsidR="00A86AEE" w:rsidRPr="00A86AEE" w:rsidRDefault="00A86AEE" w:rsidP="00A86AEE">
      <w:pPr>
        <w:pStyle w:val="FirstParagraph"/>
        <w:rPr>
          <w:rFonts w:ascii="Gill Sans MT" w:hAnsi="Gill Sans MT"/>
          <w:sz w:val="22"/>
          <w:szCs w:val="22"/>
        </w:rPr>
      </w:pPr>
      <w:r w:rsidRPr="00A86AEE">
        <w:rPr>
          <w:rFonts w:ascii="Gill Sans MT" w:hAnsi="Gill Sans MT"/>
          <w:sz w:val="22"/>
          <w:szCs w:val="22"/>
        </w:rPr>
        <w:t>Candidates meeting the minimum qualification requirements shall be evaluated out of 100 marks as follows:</w:t>
      </w:r>
    </w:p>
    <w:tbl>
      <w:tblPr>
        <w:tblStyle w:val="GridTable4-Accent1"/>
        <w:tblW w:w="5000" w:type="pct"/>
        <w:tblLayout w:type="fixed"/>
        <w:tblLook w:val="04A0" w:firstRow="1" w:lastRow="0" w:firstColumn="1" w:lastColumn="0" w:noHBand="0" w:noVBand="1"/>
      </w:tblPr>
      <w:tblGrid>
        <w:gridCol w:w="4229"/>
        <w:gridCol w:w="5639"/>
      </w:tblGrid>
      <w:tr w:rsidR="00A86AEE" w:rsidRPr="00A86AEE" w:rsidTr="00A86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Evaluation criterion</w:t>
            </w:r>
          </w:p>
        </w:tc>
        <w:tc>
          <w:tcPr>
            <w:tcW w:w="4525" w:type="dxa"/>
          </w:tcPr>
          <w:p w:rsidR="00A86AEE" w:rsidRPr="00A86AEE" w:rsidRDefault="00A86AEE" w:rsidP="00456B75">
            <w:pPr>
              <w:pStyle w:val="Compact"/>
              <w:jc w:val="right"/>
              <w:cnfStyle w:val="100000000000" w:firstRow="1" w:lastRow="0" w:firstColumn="0" w:lastColumn="0" w:oddVBand="0" w:evenVBand="0" w:oddHBand="0"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Maximum marks</w:t>
            </w:r>
          </w:p>
        </w:tc>
      </w:tr>
      <w:tr w:rsidR="00A86AEE" w:rsidRPr="00A86AEE" w:rsidTr="00A86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Academic qualifications relevant to the assignment</w:t>
            </w:r>
          </w:p>
        </w:tc>
        <w:tc>
          <w:tcPr>
            <w:tcW w:w="4525" w:type="dxa"/>
          </w:tcPr>
          <w:p w:rsidR="00A86AEE" w:rsidRPr="00A86AEE" w:rsidRDefault="00A86AEE" w:rsidP="00456B75">
            <w:pPr>
              <w:pStyle w:val="Compact"/>
              <w:jc w:val="right"/>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10</w:t>
            </w:r>
          </w:p>
        </w:tc>
      </w:tr>
      <w:tr w:rsidR="00A86AEE" w:rsidRPr="00A86AEE" w:rsidTr="00A86AEE">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lastRenderedPageBreak/>
              <w:t>Overall relevant professional experience</w:t>
            </w:r>
          </w:p>
        </w:tc>
        <w:tc>
          <w:tcPr>
            <w:tcW w:w="4525" w:type="dxa"/>
          </w:tcPr>
          <w:p w:rsidR="00A86AEE" w:rsidRPr="00A86AEE" w:rsidRDefault="00A86AEE" w:rsidP="00456B75">
            <w:pPr>
              <w:pStyle w:val="Compact"/>
              <w:jc w:val="right"/>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20</w:t>
            </w:r>
          </w:p>
        </w:tc>
      </w:tr>
      <w:tr w:rsidR="00A86AEE" w:rsidRPr="00A86AEE" w:rsidTr="00A86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Environmental and social technical expertise</w:t>
            </w:r>
          </w:p>
        </w:tc>
        <w:tc>
          <w:tcPr>
            <w:tcW w:w="4525" w:type="dxa"/>
          </w:tcPr>
          <w:p w:rsidR="00A86AEE" w:rsidRPr="00A86AEE" w:rsidRDefault="00A86AEE" w:rsidP="00456B75">
            <w:pPr>
              <w:pStyle w:val="Compact"/>
              <w:jc w:val="right"/>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25</w:t>
            </w:r>
          </w:p>
        </w:tc>
      </w:tr>
      <w:tr w:rsidR="00A86AEE" w:rsidRPr="00A86AEE" w:rsidTr="00A86AEE">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Experience with World Bank E&amp;S requirements and Jordanian regulations</w:t>
            </w:r>
          </w:p>
        </w:tc>
        <w:tc>
          <w:tcPr>
            <w:tcW w:w="4525" w:type="dxa"/>
          </w:tcPr>
          <w:p w:rsidR="00A86AEE" w:rsidRPr="00A86AEE" w:rsidRDefault="00A86AEE" w:rsidP="00456B75">
            <w:pPr>
              <w:pStyle w:val="Compact"/>
              <w:jc w:val="right"/>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20</w:t>
            </w:r>
          </w:p>
        </w:tc>
      </w:tr>
      <w:tr w:rsidR="00A86AEE" w:rsidRPr="00A86AEE" w:rsidTr="00A86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Experience in technical review, quality assurance, and consultant oversight</w:t>
            </w:r>
          </w:p>
        </w:tc>
        <w:tc>
          <w:tcPr>
            <w:tcW w:w="4525" w:type="dxa"/>
          </w:tcPr>
          <w:p w:rsidR="00A86AEE" w:rsidRPr="00A86AEE" w:rsidRDefault="00A86AEE" w:rsidP="00456B75">
            <w:pPr>
              <w:pStyle w:val="Compact"/>
              <w:jc w:val="right"/>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15</w:t>
            </w:r>
          </w:p>
        </w:tc>
      </w:tr>
      <w:tr w:rsidR="00A86AEE" w:rsidRPr="00A86AEE" w:rsidTr="00A86AEE">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Health-sector, public-sector, and Jordan-specific experience</w:t>
            </w:r>
          </w:p>
        </w:tc>
        <w:tc>
          <w:tcPr>
            <w:tcW w:w="4525" w:type="dxa"/>
          </w:tcPr>
          <w:p w:rsidR="00A86AEE" w:rsidRPr="00A86AEE" w:rsidRDefault="00A86AEE" w:rsidP="00456B75">
            <w:pPr>
              <w:pStyle w:val="Compact"/>
              <w:jc w:val="right"/>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5</w:t>
            </w:r>
          </w:p>
        </w:tc>
      </w:tr>
      <w:tr w:rsidR="00A86AEE" w:rsidRPr="00A86AEE" w:rsidTr="00A86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Communication, reporting, and coordination skills in Arabic and English</w:t>
            </w:r>
          </w:p>
        </w:tc>
        <w:tc>
          <w:tcPr>
            <w:tcW w:w="4525" w:type="dxa"/>
          </w:tcPr>
          <w:p w:rsidR="00A86AEE" w:rsidRPr="00A86AEE" w:rsidRDefault="00A86AEE" w:rsidP="00456B75">
            <w:pPr>
              <w:pStyle w:val="Compact"/>
              <w:jc w:val="right"/>
              <w:cnfStyle w:val="000000100000" w:firstRow="0" w:lastRow="0" w:firstColumn="0" w:lastColumn="0" w:oddVBand="0" w:evenVBand="0" w:oddHBand="1" w:evenHBand="0" w:firstRowFirstColumn="0" w:firstRowLastColumn="0" w:lastRowFirstColumn="0" w:lastRowLastColumn="0"/>
              <w:rPr>
                <w:rFonts w:ascii="Gill Sans MT" w:hAnsi="Gill Sans MT"/>
                <w:sz w:val="22"/>
                <w:szCs w:val="22"/>
              </w:rPr>
            </w:pPr>
            <w:r w:rsidRPr="00A86AEE">
              <w:rPr>
                <w:rFonts w:ascii="Gill Sans MT" w:hAnsi="Gill Sans MT"/>
                <w:sz w:val="22"/>
                <w:szCs w:val="22"/>
              </w:rPr>
              <w:t>5</w:t>
            </w:r>
          </w:p>
        </w:tc>
      </w:tr>
      <w:tr w:rsidR="00A86AEE" w:rsidRPr="00A86AEE" w:rsidTr="00A86AEE">
        <w:tc>
          <w:tcPr>
            <w:cnfStyle w:val="001000000000" w:firstRow="0" w:lastRow="0" w:firstColumn="1" w:lastColumn="0" w:oddVBand="0" w:evenVBand="0" w:oddHBand="0" w:evenHBand="0" w:firstRowFirstColumn="0" w:firstRowLastColumn="0" w:lastRowFirstColumn="0" w:lastRowLastColumn="0"/>
            <w:tcW w:w="3394" w:type="dxa"/>
          </w:tcPr>
          <w:p w:rsidR="00A86AEE" w:rsidRPr="00A86AEE" w:rsidRDefault="00A86AEE" w:rsidP="00456B75">
            <w:pPr>
              <w:pStyle w:val="Compact"/>
              <w:rPr>
                <w:rFonts w:ascii="Gill Sans MT" w:hAnsi="Gill Sans MT"/>
                <w:sz w:val="22"/>
                <w:szCs w:val="22"/>
              </w:rPr>
            </w:pPr>
            <w:r w:rsidRPr="00A86AEE">
              <w:rPr>
                <w:rFonts w:ascii="Gill Sans MT" w:hAnsi="Gill Sans MT"/>
                <w:sz w:val="22"/>
                <w:szCs w:val="22"/>
              </w:rPr>
              <w:t>Total</w:t>
            </w:r>
          </w:p>
        </w:tc>
        <w:tc>
          <w:tcPr>
            <w:tcW w:w="4525" w:type="dxa"/>
          </w:tcPr>
          <w:p w:rsidR="00A86AEE" w:rsidRPr="00A86AEE" w:rsidRDefault="00A86AEE" w:rsidP="00456B75">
            <w:pPr>
              <w:pStyle w:val="Compact"/>
              <w:jc w:val="right"/>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86AEE">
              <w:rPr>
                <w:rFonts w:ascii="Gill Sans MT" w:hAnsi="Gill Sans MT"/>
                <w:b/>
                <w:bCs/>
                <w:sz w:val="22"/>
                <w:szCs w:val="22"/>
              </w:rPr>
              <w:t>100</w:t>
            </w:r>
          </w:p>
        </w:tc>
      </w:tr>
    </w:tbl>
    <w:p w:rsidR="00A86AEE" w:rsidRPr="00A86AEE" w:rsidRDefault="00A86AEE" w:rsidP="00A86AEE">
      <w:pPr>
        <w:pStyle w:val="BodyText"/>
        <w:rPr>
          <w:rFonts w:ascii="Gill Sans MT" w:hAnsi="Gill Sans MT"/>
          <w:sz w:val="22"/>
        </w:rPr>
      </w:pPr>
      <w:r w:rsidRPr="00A86AEE">
        <w:rPr>
          <w:rFonts w:ascii="Gill Sans MT" w:hAnsi="Gill Sans MT"/>
          <w:sz w:val="22"/>
        </w:rPr>
        <w:t xml:space="preserve">The minimum technical passing score shall be </w:t>
      </w:r>
      <w:r w:rsidRPr="00A86AEE">
        <w:rPr>
          <w:rFonts w:ascii="Gill Sans MT" w:hAnsi="Gill Sans MT"/>
          <w:b/>
          <w:bCs/>
          <w:sz w:val="22"/>
        </w:rPr>
        <w:t>70 marks out of 100</w:t>
      </w:r>
      <w:r w:rsidRPr="00A86AEE">
        <w:rPr>
          <w:rFonts w:ascii="Gill Sans MT" w:hAnsi="Gill Sans MT"/>
          <w:sz w:val="22"/>
        </w:rPr>
        <w:t>.</w:t>
      </w:r>
    </w:p>
    <w:p w:rsidR="00A86AEE" w:rsidRPr="00A86AEE" w:rsidRDefault="00A86AEE" w:rsidP="00A86AEE">
      <w:pPr>
        <w:pStyle w:val="BodyText"/>
        <w:rPr>
          <w:rFonts w:ascii="Gill Sans MT" w:hAnsi="Gill Sans MT"/>
          <w:sz w:val="22"/>
        </w:rPr>
      </w:pPr>
      <w:r w:rsidRPr="00A86AEE">
        <w:rPr>
          <w:rFonts w:ascii="Gill Sans MT" w:hAnsi="Gill Sans MT"/>
          <w:sz w:val="22"/>
        </w:rPr>
        <w:t>The highest-ranked technically qualified candidate may be invited for an interview and contract negotiations. The Ministry may verify academic qualifications, professional experience, references, availability, and absence of conflict of interest before final selection.</w:t>
      </w:r>
    </w:p>
    <w:bookmarkEnd w:id="0"/>
    <w:p w:rsidR="00A86AEE" w:rsidRPr="00A86AEE" w:rsidRDefault="00A86AEE" w:rsidP="00A86AEE">
      <w:pPr>
        <w:pStyle w:val="ListBullet"/>
        <w:numPr>
          <w:ilvl w:val="0"/>
          <w:numId w:val="0"/>
        </w:numPr>
        <w:spacing w:after="40"/>
        <w:ind w:left="360" w:hanging="360"/>
        <w:rPr>
          <w:rFonts w:ascii="Gill Sans MT" w:hAnsi="Gill Sans MT"/>
          <w:sz w:val="22"/>
        </w:rPr>
      </w:pPr>
    </w:p>
    <w:p w:rsidR="00D472AC" w:rsidRPr="00A86AEE" w:rsidRDefault="00A86AEE">
      <w:pPr>
        <w:pStyle w:val="Heading1"/>
        <w:rPr>
          <w:rFonts w:ascii="Gill Sans MT" w:hAnsi="Gill Sans MT"/>
          <w:sz w:val="22"/>
          <w:szCs w:val="22"/>
        </w:rPr>
      </w:pPr>
      <w:r w:rsidRPr="00A86AEE">
        <w:rPr>
          <w:rFonts w:ascii="Gill Sans MT" w:hAnsi="Gill Sans MT"/>
          <w:sz w:val="22"/>
          <w:szCs w:val="22"/>
        </w:rPr>
        <w:t>10</w:t>
      </w:r>
      <w:r w:rsidR="00000000" w:rsidRPr="00A86AEE">
        <w:rPr>
          <w:rFonts w:ascii="Gill Sans MT" w:hAnsi="Gill Sans MT"/>
          <w:sz w:val="22"/>
          <w:szCs w:val="22"/>
        </w:rPr>
        <w:t>. Confidentiality, Data Ownership, and Conflict of Interest</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All data, documents, review notes, reports, systems, and other materials prepared or accessed under this assignment shall remain confidential and shall be the property of the Ministry of Health, subject to the applicable contractual arrangements.</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consultant shall not disclose or use project information for purposes unrelated to the assignment without prior written authorization.</w:t>
      </w:r>
    </w:p>
    <w:p w:rsidR="00D472AC" w:rsidRPr="00A86AEE" w:rsidRDefault="00000000">
      <w:pPr>
        <w:pStyle w:val="ListBullet"/>
        <w:spacing w:after="40"/>
        <w:ind w:hanging="173"/>
        <w:rPr>
          <w:rFonts w:ascii="Gill Sans MT" w:hAnsi="Gill Sans MT"/>
          <w:sz w:val="22"/>
        </w:rPr>
      </w:pPr>
      <w:r w:rsidRPr="00A86AEE">
        <w:rPr>
          <w:rFonts w:ascii="Gill Sans MT" w:hAnsi="Gill Sans MT"/>
          <w:sz w:val="22"/>
        </w:rPr>
        <w:t>The consultant shall disclose any actual, potential, or perceived conflict of interest. The consultant must be independent of the firm contracted to deliver the Environmental and Social Support Services and may not have any financial, managerial, or other relationship that could compromise impartial technical oversight.</w:t>
      </w:r>
    </w:p>
    <w:sectPr w:rsidR="00D472AC" w:rsidRPr="00A86AEE" w:rsidSect="00034616">
      <w:headerReference w:type="default" r:id="rId8"/>
      <w:footerReference w:type="default" r:id="rId9"/>
      <w:pgSz w:w="12240" w:h="15840"/>
      <w:pgMar w:top="936" w:right="1181" w:bottom="936" w:left="118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0BDF" w:rsidRDefault="009B0BDF">
      <w:pPr>
        <w:spacing w:after="0" w:line="240" w:lineRule="auto"/>
      </w:pPr>
      <w:r>
        <w:separator/>
      </w:r>
    </w:p>
  </w:endnote>
  <w:endnote w:type="continuationSeparator" w:id="0">
    <w:p w:rsidR="009B0BDF" w:rsidRDefault="009B0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2AC" w:rsidRDefault="00000000">
    <w:pPr>
      <w:pStyle w:val="Footer"/>
      <w:jc w:val="center"/>
    </w:pPr>
    <w:r>
      <w:rPr>
        <w:color w:val="646464"/>
        <w:sz w:val="16"/>
      </w:rPr>
      <w:t xml:space="preserve">Jordan Health Sector Reform Program for Results (PforR) – GFPP  |  Page </w:t>
    </w:r>
    <w:r>
      <w:fldChar w:fldCharType="begin"/>
    </w:r>
    <w:r>
      <w:instrText xml:space="preserve"> PAGE </w:instrText>
    </w:r>
    <w:r w:rsidR="00A86AEE">
      <w:fldChar w:fldCharType="separate"/>
    </w:r>
    <w:r w:rsidR="00A86AE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0BDF" w:rsidRDefault="009B0BDF">
      <w:pPr>
        <w:spacing w:after="0" w:line="240" w:lineRule="auto"/>
      </w:pPr>
      <w:r>
        <w:separator/>
      </w:r>
    </w:p>
  </w:footnote>
  <w:footnote w:type="continuationSeparator" w:id="0">
    <w:p w:rsidR="009B0BDF" w:rsidRDefault="009B0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6AEE" w:rsidRDefault="00A86AE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9400819">
    <w:abstractNumId w:val="8"/>
  </w:num>
  <w:num w:numId="2" w16cid:durableId="1305356359">
    <w:abstractNumId w:val="6"/>
  </w:num>
  <w:num w:numId="3" w16cid:durableId="1832867420">
    <w:abstractNumId w:val="5"/>
  </w:num>
  <w:num w:numId="4" w16cid:durableId="1217743747">
    <w:abstractNumId w:val="4"/>
  </w:num>
  <w:num w:numId="5" w16cid:durableId="563295614">
    <w:abstractNumId w:val="7"/>
  </w:num>
  <w:num w:numId="6" w16cid:durableId="1456027754">
    <w:abstractNumId w:val="3"/>
  </w:num>
  <w:num w:numId="7" w16cid:durableId="336008348">
    <w:abstractNumId w:val="2"/>
  </w:num>
  <w:num w:numId="8" w16cid:durableId="762527392">
    <w:abstractNumId w:val="1"/>
  </w:num>
  <w:num w:numId="9" w16cid:durableId="1331327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B0BDF"/>
    <w:rsid w:val="00A86AEE"/>
    <w:rsid w:val="00AA1D8D"/>
    <w:rsid w:val="00B47730"/>
    <w:rsid w:val="00C5502D"/>
    <w:rsid w:val="00CB0664"/>
    <w:rsid w:val="00D472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52D5A3"/>
  <w14:defaultImageDpi w14:val="300"/>
  <w15:docId w15:val="{279649F2-5688-9541-B957-8FEE7F01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60" w:after="8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rstParagraph">
    <w:name w:val="First Paragraph"/>
    <w:basedOn w:val="BodyText"/>
    <w:next w:val="BodyText"/>
    <w:qFormat/>
    <w:rsid w:val="00A86AEE"/>
    <w:pPr>
      <w:spacing w:before="180" w:after="180" w:line="240" w:lineRule="auto"/>
    </w:pPr>
    <w:rPr>
      <w:rFonts w:asciiTheme="minorHAnsi" w:eastAsiaTheme="minorHAnsi" w:hAnsiTheme="minorHAnsi"/>
      <w:sz w:val="24"/>
      <w:szCs w:val="24"/>
    </w:rPr>
  </w:style>
  <w:style w:type="paragraph" w:customStyle="1" w:styleId="Compact">
    <w:name w:val="Compact"/>
    <w:basedOn w:val="BodyText"/>
    <w:qFormat/>
    <w:rsid w:val="00A86AEE"/>
    <w:pPr>
      <w:spacing w:before="36" w:after="36" w:line="240" w:lineRule="auto"/>
    </w:pPr>
    <w:rPr>
      <w:rFonts w:asciiTheme="minorHAnsi" w:eastAsiaTheme="minorHAnsi" w:hAnsiTheme="minorHAnsi"/>
      <w:sz w:val="24"/>
      <w:szCs w:val="24"/>
    </w:rPr>
  </w:style>
  <w:style w:type="table" w:customStyle="1" w:styleId="Table">
    <w:name w:val="Table"/>
    <w:semiHidden/>
    <w:unhideWhenUsed/>
    <w:qFormat/>
    <w:rsid w:val="00A86AEE"/>
    <w:pPr>
      <w:spacing w:line="240" w:lineRule="auto"/>
    </w:pPr>
    <w:rPr>
      <w:rFonts w:eastAsiaTheme="minorHAnsi"/>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GridTable4-Accent1">
    <w:name w:val="Grid Table 4 Accent 1"/>
    <w:basedOn w:val="TableNormal"/>
    <w:uiPriority w:val="49"/>
    <w:rsid w:val="00A86A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2235</Words>
  <Characters>12743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 Individual Environmental and Social Technical Support Consultant</dc:title>
  <dc:subject>Jordan Health Sector Reform Program for Results (PforR) – GFPP</dc:subject>
  <dc:creator>Ministry of Health</dc:creator>
  <cp:keywords>GFPP, PforR, Environmental and Social, Technical Support Consultant, Ministry of Health</cp:keywords>
  <dc:description>generated by python-docx</dc:description>
  <cp:lastModifiedBy>Heba Abu Shindi</cp:lastModifiedBy>
  <cp:revision>2</cp:revision>
  <dcterms:created xsi:type="dcterms:W3CDTF">2026-08-03T08:14:00Z</dcterms:created>
  <dcterms:modified xsi:type="dcterms:W3CDTF">2026-08-03T08:14:00Z</dcterms:modified>
  <cp:category/>
</cp:coreProperties>
</file>