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2623" w14:textId="77777777" w:rsidR="00F27EC6" w:rsidRDefault="00F27EC6" w:rsidP="00F27EC6">
      <w:pPr>
        <w:spacing w:after="0" w:line="240" w:lineRule="auto"/>
        <w:jc w:val="center"/>
        <w:rPr>
          <w:b/>
          <w:bCs/>
          <w:lang w:val="en-US"/>
        </w:rPr>
      </w:pPr>
      <w:r>
        <w:rPr>
          <w:b/>
          <w:bCs/>
          <w:lang w:val="en-US"/>
        </w:rPr>
        <w:t>Terms of Reference Summary</w:t>
      </w:r>
    </w:p>
    <w:p w14:paraId="4DC95D4D" w14:textId="793E097D" w:rsidR="00F27EC6" w:rsidRDefault="00F27EC6" w:rsidP="00F27EC6">
      <w:pPr>
        <w:spacing w:after="0" w:line="240" w:lineRule="auto"/>
        <w:jc w:val="center"/>
        <w:rPr>
          <w:b/>
          <w:bCs/>
          <w:lang w:val="en-US"/>
        </w:rPr>
      </w:pPr>
      <w:r>
        <w:rPr>
          <w:b/>
          <w:bCs/>
          <w:lang w:val="en-US"/>
        </w:rPr>
        <w:t>Jordan’s Road Asset Management System</w:t>
      </w:r>
    </w:p>
    <w:p w14:paraId="53B608E1" w14:textId="6CAD41FC" w:rsidR="00F27EC6" w:rsidRPr="00F27EC6" w:rsidRDefault="00F27EC6" w:rsidP="00F27EC6">
      <w:pPr>
        <w:spacing w:after="240" w:line="240" w:lineRule="auto"/>
        <w:jc w:val="both"/>
        <w:rPr>
          <w:b/>
          <w:bCs/>
          <w:lang w:val="en-US"/>
        </w:rPr>
      </w:pPr>
      <w:r w:rsidRPr="00F27EC6">
        <w:rPr>
          <w:b/>
          <w:bCs/>
          <w:lang w:val="en-US"/>
        </w:rPr>
        <w:t>Background</w:t>
      </w:r>
    </w:p>
    <w:p w14:paraId="23BDCF60" w14:textId="111AFF04" w:rsidR="00F27EC6" w:rsidRPr="00EC0904" w:rsidRDefault="00F27EC6" w:rsidP="00F27EC6">
      <w:pPr>
        <w:spacing w:after="240" w:line="240" w:lineRule="auto"/>
        <w:jc w:val="both"/>
        <w:rPr>
          <w:lang w:val="en-US"/>
        </w:rPr>
      </w:pPr>
      <w:r w:rsidRPr="00EC0904">
        <w:rPr>
          <w:lang w:val="en-US"/>
        </w:rPr>
        <w:t>The Ministry of Public Works and Housing (</w:t>
      </w:r>
      <w:proofErr w:type="spellStart"/>
      <w:r w:rsidRPr="00EC0904">
        <w:rPr>
          <w:lang w:val="en-US"/>
        </w:rPr>
        <w:t>MoPHW</w:t>
      </w:r>
      <w:proofErr w:type="spellEnd"/>
      <w:r w:rsidRPr="00EC0904">
        <w:rPr>
          <w:lang w:val="en-US"/>
        </w:rPr>
        <w:t xml:space="preserve">) is responsible for the management of the road network in Jordan which comprises of approximately 10,000 kilometers. The Ministry is responsible for the planning, development, </w:t>
      </w:r>
      <w:proofErr w:type="gramStart"/>
      <w:r w:rsidRPr="00EC0904">
        <w:rPr>
          <w:lang w:val="en-US"/>
        </w:rPr>
        <w:t>operation</w:t>
      </w:r>
      <w:proofErr w:type="gramEnd"/>
      <w:r w:rsidRPr="00EC0904">
        <w:rPr>
          <w:lang w:val="en-US"/>
        </w:rPr>
        <w:t xml:space="preserve"> and maintenance of the road network. Jordan is unable to provide sufficient resources for the optimal maintenance of its road network, which are long-term assets that require regular maintenance. At the same time, rapid traffic growth and normal wear and tear exert pressure on the road network's capacity and performance. </w:t>
      </w:r>
    </w:p>
    <w:p w14:paraId="43C94F32" w14:textId="77777777" w:rsidR="00F27EC6" w:rsidRPr="00EC0904" w:rsidRDefault="00F27EC6" w:rsidP="00F27EC6">
      <w:pPr>
        <w:spacing w:after="240" w:line="240" w:lineRule="auto"/>
        <w:jc w:val="both"/>
        <w:rPr>
          <w:lang w:val="en-US"/>
        </w:rPr>
      </w:pPr>
      <w:r w:rsidRPr="00EC0904">
        <w:rPr>
          <w:lang w:val="en-US"/>
        </w:rPr>
        <w:t>The development, operation and maintenance of the roads system is a national priority in Jordan. Despite a close to US$ 2.00 billion of investments in the road sector over the past decade and a half, negligible resources have been allocated to maintain the new road assets as well as existing ones. This has resulted in a nearly 40-50% of the road network in poor condition that require urgent maintenance. It is essential to note that poorly maintained roads are contributing to road traffic accidents, an issue of deep concern to the government of Jordan.</w:t>
      </w:r>
    </w:p>
    <w:p w14:paraId="1CF00948" w14:textId="4F9B2EC5" w:rsidR="00F27EC6" w:rsidRDefault="00F27EC6" w:rsidP="00F27EC6">
      <w:pPr>
        <w:jc w:val="both"/>
        <w:rPr>
          <w:lang w:val="en-US"/>
        </w:rPr>
      </w:pPr>
      <w:r w:rsidRPr="00EC0904">
        <w:rPr>
          <w:lang w:val="en-US"/>
        </w:rPr>
        <w:t xml:space="preserve">Current planning for road maintenance investment depends on the availability of funds. Due to lack of funds and the absence of efficient planning, roads are let to deteriorate to the point that cost-effective technical solutions are not an option.  Besides the absence of institutional structure for road asset management and decision-making tools, current road maintenance planning lacks clear and well-defined strategy for the MOHPW’s road maintenance department to plan for road maintenance investments. </w:t>
      </w:r>
    </w:p>
    <w:p w14:paraId="0F5E17F5" w14:textId="1B24C52E" w:rsidR="00F27EC6" w:rsidRPr="00F27EC6" w:rsidRDefault="00F27EC6" w:rsidP="00F27EC6">
      <w:pPr>
        <w:jc w:val="both"/>
        <w:rPr>
          <w:b/>
          <w:bCs/>
          <w:lang w:val="en-US"/>
        </w:rPr>
      </w:pPr>
      <w:r w:rsidRPr="00F27EC6">
        <w:rPr>
          <w:b/>
          <w:bCs/>
          <w:lang w:val="en-US"/>
        </w:rPr>
        <w:t>MOPWH O</w:t>
      </w:r>
      <w:r>
        <w:rPr>
          <w:b/>
          <w:bCs/>
          <w:lang w:val="en-US"/>
        </w:rPr>
        <w:t>r</w:t>
      </w:r>
      <w:r w:rsidRPr="00F27EC6">
        <w:rPr>
          <w:b/>
          <w:bCs/>
          <w:lang w:val="en-US"/>
        </w:rPr>
        <w:t>ganization</w:t>
      </w:r>
    </w:p>
    <w:p w14:paraId="6035A861" w14:textId="3E9DCBC2" w:rsidR="0089787C" w:rsidRPr="002A2D86" w:rsidRDefault="0089787C" w:rsidP="0089787C">
      <w:pPr>
        <w:pStyle w:val="CommentText"/>
        <w:rPr>
          <w:sz w:val="22"/>
          <w:szCs w:val="22"/>
          <w:lang w:val="en-US"/>
        </w:rPr>
      </w:pPr>
      <w:r w:rsidRPr="002A2D86">
        <w:rPr>
          <w:sz w:val="22"/>
          <w:szCs w:val="22"/>
          <w:lang w:val="en-US"/>
        </w:rPr>
        <w:t>The Road Administration</w:t>
      </w:r>
      <w:r w:rsidRPr="002A2D86" w:rsidDel="0089787C">
        <w:rPr>
          <w:sz w:val="22"/>
          <w:szCs w:val="22"/>
          <w:lang w:val="en-US"/>
        </w:rPr>
        <w:t xml:space="preserve"> </w:t>
      </w:r>
      <w:r w:rsidR="00F27EC6" w:rsidRPr="002A2D86">
        <w:rPr>
          <w:sz w:val="22"/>
          <w:szCs w:val="22"/>
          <w:lang w:val="en-US"/>
        </w:rPr>
        <w:t>under the MOPWH is the government’s agency</w:t>
      </w:r>
      <w:r w:rsidRPr="002A2D86">
        <w:rPr>
          <w:sz w:val="22"/>
          <w:szCs w:val="22"/>
          <w:lang w:val="en-US"/>
        </w:rPr>
        <w:t xml:space="preserve"> is</w:t>
      </w:r>
      <w:r w:rsidR="00F27EC6" w:rsidRPr="002A2D86">
        <w:rPr>
          <w:sz w:val="22"/>
          <w:szCs w:val="22"/>
          <w:lang w:val="en-US"/>
        </w:rPr>
        <w:t xml:space="preserve"> responsible for the day-to-day management of the operations and maintenance of the road network. It manages road maintenance</w:t>
      </w:r>
      <w:r w:rsidRPr="002A2D86">
        <w:rPr>
          <w:sz w:val="22"/>
          <w:szCs w:val="22"/>
          <w:lang w:val="en-US"/>
        </w:rPr>
        <w:t xml:space="preserve"> and </w:t>
      </w:r>
      <w:r w:rsidR="002A2D86" w:rsidRPr="002A2D86">
        <w:rPr>
          <w:sz w:val="22"/>
          <w:szCs w:val="22"/>
          <w:lang w:val="en-US"/>
        </w:rPr>
        <w:t>execution</w:t>
      </w:r>
      <w:r w:rsidR="00F27EC6" w:rsidRPr="002A2D86">
        <w:rPr>
          <w:sz w:val="22"/>
          <w:szCs w:val="22"/>
          <w:lang w:val="en-US"/>
        </w:rPr>
        <w:t xml:space="preserve"> contracts throughout </w:t>
      </w:r>
      <w:proofErr w:type="gramStart"/>
      <w:r w:rsidRPr="002A2D86">
        <w:rPr>
          <w:sz w:val="22"/>
          <w:szCs w:val="22"/>
          <w:lang w:val="en-US"/>
        </w:rPr>
        <w:t>The</w:t>
      </w:r>
      <w:proofErr w:type="gramEnd"/>
      <w:r w:rsidRPr="002A2D86">
        <w:rPr>
          <w:sz w:val="22"/>
          <w:szCs w:val="22"/>
          <w:lang w:val="en-US"/>
        </w:rPr>
        <w:t xml:space="preserve"> main roads network in Jordan</w:t>
      </w:r>
      <w:r w:rsidR="00F27EC6" w:rsidRPr="002A2D86">
        <w:rPr>
          <w:sz w:val="22"/>
          <w:szCs w:val="22"/>
          <w:lang w:val="en-US"/>
        </w:rPr>
        <w:t>. Road preservation works are classified as (</w:t>
      </w:r>
      <w:proofErr w:type="spellStart"/>
      <w:r w:rsidR="00F27EC6" w:rsidRPr="002A2D86">
        <w:rPr>
          <w:sz w:val="22"/>
          <w:szCs w:val="22"/>
          <w:lang w:val="en-US"/>
        </w:rPr>
        <w:t>i</w:t>
      </w:r>
      <w:proofErr w:type="spellEnd"/>
      <w:r w:rsidR="00F27EC6" w:rsidRPr="002A2D86">
        <w:rPr>
          <w:sz w:val="22"/>
          <w:szCs w:val="22"/>
          <w:lang w:val="en-US"/>
        </w:rPr>
        <w:t xml:space="preserve">) routine maintenance works; or (ii) preventive maintenance works. The Road </w:t>
      </w:r>
      <w:r w:rsidRPr="002A2D86">
        <w:rPr>
          <w:sz w:val="22"/>
          <w:szCs w:val="22"/>
          <w:lang w:val="en-US"/>
        </w:rPr>
        <w:t>Administration's</w:t>
      </w:r>
      <w:r w:rsidR="00F27EC6" w:rsidRPr="002A2D86">
        <w:rPr>
          <w:sz w:val="22"/>
          <w:szCs w:val="22"/>
          <w:lang w:val="en-US"/>
        </w:rPr>
        <w:t xml:space="preserve"> role is to manage the </w:t>
      </w:r>
      <w:r w:rsidRPr="002A2D86">
        <w:rPr>
          <w:sz w:val="22"/>
          <w:szCs w:val="22"/>
          <w:lang w:val="en-US"/>
        </w:rPr>
        <w:t xml:space="preserve">construction, </w:t>
      </w:r>
      <w:r w:rsidR="002A2D86" w:rsidRPr="002A2D86">
        <w:rPr>
          <w:sz w:val="22"/>
          <w:szCs w:val="22"/>
          <w:lang w:val="en-US"/>
        </w:rPr>
        <w:t>operation,</w:t>
      </w:r>
      <w:r w:rsidRPr="002A2D86">
        <w:rPr>
          <w:sz w:val="22"/>
          <w:szCs w:val="22"/>
          <w:lang w:val="en-US"/>
        </w:rPr>
        <w:t xml:space="preserve"> and maintenance</w:t>
      </w:r>
    </w:p>
    <w:p w14:paraId="34E75807" w14:textId="07BE237B" w:rsidR="00F27EC6" w:rsidRPr="00EC0904" w:rsidRDefault="00F27EC6" w:rsidP="0089787C">
      <w:pPr>
        <w:jc w:val="both"/>
        <w:rPr>
          <w:lang w:val="en-US"/>
        </w:rPr>
      </w:pPr>
      <w:r w:rsidRPr="00EC0904">
        <w:rPr>
          <w:lang w:val="en-US"/>
        </w:rPr>
        <w:t xml:space="preserve">of the road network, collects roads condition and traffic data </w:t>
      </w:r>
      <w:r w:rsidR="0089787C">
        <w:t xml:space="preserve">Whereas, the GIS department is the responssible for operating the GIS. </w:t>
      </w:r>
    </w:p>
    <w:p w14:paraId="38EFCFEF" w14:textId="77777777" w:rsidR="00F27EC6" w:rsidRPr="00EC0904" w:rsidRDefault="00F27EC6" w:rsidP="00F27EC6">
      <w:pPr>
        <w:jc w:val="both"/>
        <w:rPr>
          <w:lang w:val="en-US"/>
        </w:rPr>
      </w:pPr>
      <w:r w:rsidRPr="00EC0904">
        <w:rPr>
          <w:rFonts w:cs="Arial"/>
          <w:lang w:val="en-US"/>
        </w:rPr>
        <w:t>Currently, there is no road asset management system in place in the MOPWH, and maintenance contracts are carried out based on availability of funds</w:t>
      </w:r>
      <w:r w:rsidRPr="00EC0904">
        <w:rPr>
          <w:lang w:val="en-US"/>
        </w:rPr>
        <w:t xml:space="preserve">. However, the MOPWH does have limited road inventory and condition database that needs to be assessed, and if in good quality, to be utilized and migrated from the existing database to the new RAMS, and a full new database must be collected and developed and utilized. </w:t>
      </w:r>
    </w:p>
    <w:p w14:paraId="6308D50B" w14:textId="45D9986D" w:rsidR="00F27EC6" w:rsidRDefault="00F27EC6" w:rsidP="00F27EC6">
      <w:pPr>
        <w:jc w:val="both"/>
        <w:rPr>
          <w:lang w:val="en-US"/>
        </w:rPr>
      </w:pPr>
      <w:r w:rsidRPr="00EC0904">
        <w:rPr>
          <w:lang w:val="en-US"/>
        </w:rPr>
        <w:t xml:space="preserve">The MOPWH has an IT Division responsible for management and administration of the MOPWH’s communications network and IT infrastructure. The MOPWH also uses an existing GIS system in the </w:t>
      </w:r>
      <w:r w:rsidRPr="00F27EC6">
        <w:rPr>
          <w:lang w:val="en-US"/>
        </w:rPr>
        <w:t>ArcGIS</w:t>
      </w:r>
      <w:r w:rsidRPr="00EC0904">
        <w:rPr>
          <w:lang w:val="en-US"/>
        </w:rPr>
        <w:t xml:space="preserve"> Platform that </w:t>
      </w:r>
      <w:proofErr w:type="gramStart"/>
      <w:r w:rsidRPr="00EC0904">
        <w:rPr>
          <w:lang w:val="en-US"/>
        </w:rPr>
        <w:t>is capable of displaying</w:t>
      </w:r>
      <w:proofErr w:type="gramEnd"/>
      <w:r w:rsidRPr="00EC0904">
        <w:rPr>
          <w:lang w:val="en-US"/>
        </w:rPr>
        <w:t xml:space="preserve"> the road inventory information. (</w:t>
      </w:r>
      <w:r w:rsidRPr="00F27EC6">
        <w:rPr>
          <w:lang w:val="en-US"/>
        </w:rPr>
        <w:t xml:space="preserve">Extent of capabilities and design need to be assessed and included in this TOR). </w:t>
      </w:r>
    </w:p>
    <w:p w14:paraId="47B95F58" w14:textId="2C1FB93A" w:rsidR="00F27EC6" w:rsidRPr="00F27EC6" w:rsidRDefault="00F27EC6" w:rsidP="00F27EC6">
      <w:pPr>
        <w:jc w:val="both"/>
        <w:rPr>
          <w:b/>
          <w:bCs/>
          <w:lang w:val="en-US"/>
        </w:rPr>
      </w:pPr>
      <w:r w:rsidRPr="00F27EC6">
        <w:rPr>
          <w:b/>
          <w:bCs/>
          <w:lang w:val="en-US"/>
        </w:rPr>
        <w:t>Scope of Work-Summary</w:t>
      </w:r>
    </w:p>
    <w:p w14:paraId="64E2034D" w14:textId="77777777" w:rsidR="00F27EC6" w:rsidRPr="00EC0904" w:rsidRDefault="00F27EC6" w:rsidP="00F27EC6">
      <w:pPr>
        <w:jc w:val="both"/>
        <w:rPr>
          <w:lang w:val="en-US"/>
        </w:rPr>
      </w:pPr>
      <w:r w:rsidRPr="00EC0904">
        <w:rPr>
          <w:lang w:val="en-US"/>
        </w:rPr>
        <w:lastRenderedPageBreak/>
        <w:t>This Terms of Reference (TOR) is to undertake the following tasks:</w:t>
      </w:r>
    </w:p>
    <w:p w14:paraId="4DA587EC" w14:textId="77777777" w:rsidR="00F27EC6" w:rsidRPr="00EC0904" w:rsidRDefault="00F27EC6" w:rsidP="00F27EC6">
      <w:pPr>
        <w:pStyle w:val="ListParagraph"/>
        <w:numPr>
          <w:ilvl w:val="0"/>
          <w:numId w:val="2"/>
        </w:numPr>
        <w:jc w:val="both"/>
        <w:rPr>
          <w:b/>
          <w:bCs/>
          <w:lang w:val="en-US"/>
        </w:rPr>
      </w:pPr>
      <w:r w:rsidRPr="00EC0904">
        <w:rPr>
          <w:b/>
          <w:bCs/>
          <w:lang w:val="en-US"/>
        </w:rPr>
        <w:t xml:space="preserve">Review and assessment of the MOPWH’s roads data inventory, as well as the institutional, and IT technology infrastructures and systems for the purpose of establishing a Road Asset Management System (RAMS) within MOPWH. </w:t>
      </w:r>
    </w:p>
    <w:p w14:paraId="625C589A" w14:textId="77777777" w:rsidR="00F27EC6" w:rsidRPr="00EC0904" w:rsidRDefault="00F27EC6" w:rsidP="00F27EC6">
      <w:pPr>
        <w:pStyle w:val="ListParagraph"/>
        <w:numPr>
          <w:ilvl w:val="0"/>
          <w:numId w:val="2"/>
        </w:numPr>
        <w:jc w:val="both"/>
        <w:rPr>
          <w:b/>
          <w:bCs/>
          <w:lang w:val="en-US"/>
        </w:rPr>
      </w:pPr>
      <w:r w:rsidRPr="00EC0904">
        <w:rPr>
          <w:b/>
          <w:bCs/>
          <w:lang w:val="en-US"/>
        </w:rPr>
        <w:t xml:space="preserve">Undertake road inventory and road condition data collection. </w:t>
      </w:r>
    </w:p>
    <w:p w14:paraId="0BBFED0E" w14:textId="2463DC3C" w:rsidR="00F27EC6" w:rsidRPr="00EC0904" w:rsidRDefault="00F27EC6" w:rsidP="0089787C">
      <w:pPr>
        <w:pStyle w:val="ListParagraph"/>
        <w:numPr>
          <w:ilvl w:val="0"/>
          <w:numId w:val="2"/>
        </w:numPr>
        <w:jc w:val="both"/>
        <w:rPr>
          <w:b/>
          <w:bCs/>
          <w:lang w:val="en-US"/>
        </w:rPr>
      </w:pPr>
      <w:r w:rsidRPr="00EC0904">
        <w:rPr>
          <w:b/>
          <w:bCs/>
          <w:lang w:val="en-US"/>
        </w:rPr>
        <w:t xml:space="preserve">Assist the </w:t>
      </w:r>
      <w:r w:rsidR="0089787C">
        <w:rPr>
          <w:b/>
          <w:bCs/>
          <w:lang w:val="en-US"/>
        </w:rPr>
        <w:t>MOPWH</w:t>
      </w:r>
      <w:r w:rsidR="0089787C" w:rsidRPr="00EC0904">
        <w:rPr>
          <w:b/>
          <w:bCs/>
          <w:lang w:val="en-US"/>
        </w:rPr>
        <w:t xml:space="preserve"> </w:t>
      </w:r>
      <w:r w:rsidRPr="00EC0904">
        <w:rPr>
          <w:b/>
          <w:bCs/>
          <w:lang w:val="en-US"/>
        </w:rPr>
        <w:t>in Supply, installation, proving and handing-over of the RAMS</w:t>
      </w:r>
      <w:r>
        <w:rPr>
          <w:b/>
          <w:bCs/>
          <w:lang w:val="en-US"/>
        </w:rPr>
        <w:t xml:space="preserve"> as follows: </w:t>
      </w:r>
    </w:p>
    <w:p w14:paraId="5CF5F525" w14:textId="77777777" w:rsidR="00F27EC6" w:rsidRPr="002A2D86" w:rsidRDefault="00F27EC6" w:rsidP="00F27EC6">
      <w:pPr>
        <w:pStyle w:val="CommentText"/>
        <w:ind w:left="720"/>
        <w:rPr>
          <w:sz w:val="22"/>
          <w:szCs w:val="22"/>
          <w:lang w:val="en-US"/>
        </w:rPr>
      </w:pPr>
      <w:r w:rsidRPr="002A2D86">
        <w:rPr>
          <w:sz w:val="22"/>
          <w:szCs w:val="22"/>
          <w:lang w:val="en-US"/>
        </w:rPr>
        <w:t xml:space="preserve">A. Develop the required technical specifications, bidding document for supply and installation of RAMS that shall include software, hardware, processes, as well as data analysis and reporting. </w:t>
      </w:r>
    </w:p>
    <w:p w14:paraId="62CA7C15" w14:textId="2604A644" w:rsidR="00F27EC6" w:rsidRPr="002A2D86" w:rsidRDefault="00F27EC6" w:rsidP="0089787C">
      <w:pPr>
        <w:pStyle w:val="CommentText"/>
        <w:ind w:left="720"/>
        <w:rPr>
          <w:sz w:val="22"/>
          <w:szCs w:val="22"/>
          <w:lang w:val="en-US"/>
        </w:rPr>
      </w:pPr>
      <w:r w:rsidRPr="002A2D86">
        <w:rPr>
          <w:sz w:val="22"/>
          <w:szCs w:val="22"/>
          <w:lang w:val="en-US"/>
        </w:rPr>
        <w:t xml:space="preserve">B. </w:t>
      </w:r>
      <w:r w:rsidR="008E1299" w:rsidRPr="002A2D86">
        <w:rPr>
          <w:sz w:val="22"/>
          <w:szCs w:val="22"/>
          <w:lang w:val="en-US"/>
        </w:rPr>
        <w:t>A</w:t>
      </w:r>
      <w:r w:rsidRPr="002A2D86">
        <w:rPr>
          <w:sz w:val="22"/>
          <w:szCs w:val="22"/>
          <w:lang w:val="en-US"/>
        </w:rPr>
        <w:t xml:space="preserve">ssist in the evaluation of bids received </w:t>
      </w:r>
      <w:proofErr w:type="gramStart"/>
      <w:r w:rsidRPr="002A2D86">
        <w:rPr>
          <w:sz w:val="22"/>
          <w:szCs w:val="22"/>
          <w:lang w:val="en-US"/>
        </w:rPr>
        <w:t>as a result of</w:t>
      </w:r>
      <w:proofErr w:type="gramEnd"/>
      <w:r w:rsidRPr="002A2D86">
        <w:rPr>
          <w:sz w:val="22"/>
          <w:szCs w:val="22"/>
          <w:lang w:val="en-US"/>
        </w:rPr>
        <w:t xml:space="preserve"> the above bid invitation by the </w:t>
      </w:r>
      <w:r w:rsidR="0089787C" w:rsidRPr="002A2D86">
        <w:rPr>
          <w:sz w:val="22"/>
          <w:szCs w:val="22"/>
          <w:lang w:val="en-US"/>
        </w:rPr>
        <w:t>MOPWH</w:t>
      </w:r>
    </w:p>
    <w:p w14:paraId="0D072433" w14:textId="77777777" w:rsidR="00F27EC6" w:rsidRPr="00EC0904" w:rsidRDefault="00F27EC6" w:rsidP="00F27EC6">
      <w:pPr>
        <w:pStyle w:val="ListParagraph"/>
        <w:numPr>
          <w:ilvl w:val="0"/>
          <w:numId w:val="0"/>
        </w:numPr>
        <w:ind w:left="720"/>
        <w:jc w:val="both"/>
        <w:rPr>
          <w:b/>
          <w:bCs/>
          <w:lang w:val="en-US"/>
        </w:rPr>
      </w:pPr>
      <w:r w:rsidRPr="00EC0904">
        <w:rPr>
          <w:lang w:val="en-US"/>
        </w:rPr>
        <w:t xml:space="preserve">C. Supervise the supply, </w:t>
      </w:r>
      <w:r>
        <w:rPr>
          <w:lang w:val="en-US"/>
        </w:rPr>
        <w:t>installation</w:t>
      </w:r>
      <w:r w:rsidRPr="00EC0904">
        <w:rPr>
          <w:lang w:val="en-US"/>
        </w:rPr>
        <w:t>, implementation, operation and handing over of RAMS.</w:t>
      </w:r>
      <w:r w:rsidRPr="00EC0904" w:rsidDel="00E47E78">
        <w:rPr>
          <w:b/>
          <w:bCs/>
          <w:lang w:val="en-US"/>
        </w:rPr>
        <w:t xml:space="preserve"> </w:t>
      </w:r>
    </w:p>
    <w:p w14:paraId="66046196" w14:textId="2B1348F8" w:rsidR="00F27EC6" w:rsidRPr="00EC0904" w:rsidRDefault="00F27EC6" w:rsidP="0089787C">
      <w:pPr>
        <w:pStyle w:val="ListParagraph"/>
        <w:numPr>
          <w:ilvl w:val="0"/>
          <w:numId w:val="2"/>
        </w:numPr>
        <w:jc w:val="both"/>
        <w:rPr>
          <w:b/>
          <w:bCs/>
          <w:lang w:val="en-US"/>
        </w:rPr>
      </w:pPr>
      <w:r w:rsidRPr="00EC0904">
        <w:rPr>
          <w:b/>
          <w:bCs/>
          <w:lang w:val="en-US"/>
        </w:rPr>
        <w:t xml:space="preserve">Institutional and technical capacity building and training for the MOPWH’s Road </w:t>
      </w:r>
      <w:r w:rsidR="002A2D86">
        <w:rPr>
          <w:b/>
          <w:bCs/>
          <w:lang w:val="en-US"/>
        </w:rPr>
        <w:t>administration</w:t>
      </w:r>
      <w:r w:rsidR="002A2D86" w:rsidRPr="00EC0904">
        <w:rPr>
          <w:b/>
          <w:bCs/>
          <w:lang w:val="en-US"/>
        </w:rPr>
        <w:t xml:space="preserve"> and</w:t>
      </w:r>
      <w:r w:rsidRPr="00EC0904">
        <w:rPr>
          <w:b/>
          <w:bCs/>
          <w:lang w:val="en-US"/>
        </w:rPr>
        <w:t xml:space="preserve"> RAMS Unit.</w:t>
      </w:r>
    </w:p>
    <w:p w14:paraId="766F33E0" w14:textId="7DCC59B6" w:rsidR="003A05DF" w:rsidRPr="002A2D86" w:rsidRDefault="00F27EC6" w:rsidP="0089787C">
      <w:pPr>
        <w:rPr>
          <w:lang w:val="en-US"/>
        </w:rPr>
      </w:pPr>
      <w:r w:rsidRPr="00EC0904">
        <w:rPr>
          <w:lang w:val="en-US"/>
        </w:rPr>
        <w:t xml:space="preserve">The RAMS will be utilized to process road data such as inventory, condition, road traffic, road accidents, climate and hazard risks and unit costs for capital and maintenance investments and other related data, for road planning and life-cycle cost analysis purposes. A </w:t>
      </w:r>
      <w:r w:rsidRPr="002A2D86">
        <w:rPr>
          <w:lang w:val="en-US"/>
        </w:rPr>
        <w:t xml:space="preserve">dedicated RAMS Unit </w:t>
      </w:r>
      <w:r w:rsidR="0089787C" w:rsidRPr="002A2D86">
        <w:rPr>
          <w:lang w:val="en-US"/>
        </w:rPr>
        <w:t>already had been established</w:t>
      </w:r>
      <w:r w:rsidRPr="002A2D86">
        <w:rPr>
          <w:lang w:val="en-US"/>
        </w:rPr>
        <w:t xml:space="preserve"> within the MOPWH hierarchy, staffed with qualified and motivated staff, and strengthened with clear responsibilities and sustainable budget.</w:t>
      </w:r>
    </w:p>
    <w:p w14:paraId="0B3D476E" w14:textId="13EF0256" w:rsidR="00F07EB6" w:rsidRPr="002A2D86" w:rsidRDefault="00F07EB6">
      <w:pPr>
        <w:rPr>
          <w:b/>
          <w:bCs/>
          <w:lang w:val="en-US"/>
        </w:rPr>
      </w:pPr>
      <w:r w:rsidRPr="002A2D86">
        <w:rPr>
          <w:b/>
          <w:bCs/>
          <w:lang w:val="en-US"/>
        </w:rPr>
        <w:t>Data Collection</w:t>
      </w:r>
    </w:p>
    <w:p w14:paraId="53395D01" w14:textId="531DFB6B" w:rsidR="00F07EB6" w:rsidRDefault="00F07EB6">
      <w:pPr>
        <w:rPr>
          <w:lang w:val="en-US"/>
        </w:rPr>
      </w:pPr>
      <w:r w:rsidRPr="002A2D86">
        <w:rPr>
          <w:lang w:val="en-US"/>
        </w:rPr>
        <w:t xml:space="preserve">The Consultant’s work under this TOR includes the data collection to survey </w:t>
      </w:r>
      <w:r w:rsidRPr="002A2D86">
        <w:rPr>
          <w:i/>
          <w:iCs/>
          <w:u w:val="single"/>
          <w:lang w:val="en-US"/>
        </w:rPr>
        <w:t>up to 3,000</w:t>
      </w:r>
      <w:r w:rsidRPr="002A2D86">
        <w:rPr>
          <w:lang w:val="en-US"/>
        </w:rPr>
        <w:t xml:space="preserve"> Kilometers </w:t>
      </w:r>
      <w:r w:rsidRPr="00EC0904">
        <w:rPr>
          <w:lang w:val="en-US"/>
        </w:rPr>
        <w:t>of Primary and Secondary roads under the responsibility of MOPWH</w:t>
      </w:r>
      <w:r>
        <w:rPr>
          <w:lang w:val="en-US"/>
        </w:rPr>
        <w:t xml:space="preserve"> (both sides of the road from the central line until the end of the embankment)</w:t>
      </w:r>
      <w:r w:rsidRPr="00EC0904">
        <w:rPr>
          <w:lang w:val="en-US"/>
        </w:rPr>
        <w:t xml:space="preserve">. </w:t>
      </w:r>
    </w:p>
    <w:p w14:paraId="5AD1DB79" w14:textId="21D8D46A" w:rsidR="00F07EB6" w:rsidRDefault="00F07EB6" w:rsidP="00F07EB6">
      <w:pPr>
        <w:pStyle w:val="ListBullet"/>
        <w:numPr>
          <w:ilvl w:val="0"/>
          <w:numId w:val="0"/>
        </w:numPr>
        <w:ind w:firstLine="19"/>
        <w:jc w:val="both"/>
        <w:rPr>
          <w:rFonts w:asciiTheme="minorHAnsi" w:eastAsiaTheme="minorHAnsi" w:hAnsiTheme="minorHAnsi" w:cstheme="minorBidi"/>
          <w:sz w:val="22"/>
          <w:szCs w:val="22"/>
          <w:lang w:val="en-US"/>
        </w:rPr>
      </w:pPr>
      <w:r w:rsidRPr="00EC0904">
        <w:rPr>
          <w:rFonts w:asciiTheme="minorHAnsi" w:eastAsiaTheme="minorHAnsi" w:hAnsiTheme="minorHAnsi" w:cstheme="minorBidi"/>
          <w:sz w:val="22"/>
          <w:szCs w:val="22"/>
          <w:lang w:val="en-US"/>
        </w:rPr>
        <w:t xml:space="preserve">The Consultant will provide </w:t>
      </w:r>
      <w:r w:rsidR="00826186">
        <w:rPr>
          <w:rFonts w:asciiTheme="minorHAnsi" w:eastAsiaTheme="minorHAnsi" w:hAnsiTheme="minorHAnsi" w:cstheme="minorBidi"/>
          <w:sz w:val="22"/>
          <w:szCs w:val="22"/>
          <w:lang w:val="en-US"/>
        </w:rPr>
        <w:t>qualified staff</w:t>
      </w:r>
      <w:r w:rsidR="00B419E8">
        <w:rPr>
          <w:rFonts w:asciiTheme="minorHAnsi" w:eastAsiaTheme="minorHAnsi" w:hAnsiTheme="minorHAnsi" w:cstheme="minorBidi"/>
          <w:sz w:val="22"/>
          <w:szCs w:val="22"/>
          <w:lang w:val="en-US"/>
        </w:rPr>
        <w:t xml:space="preserve"> and </w:t>
      </w:r>
      <w:r w:rsidRPr="00EC0904">
        <w:rPr>
          <w:rFonts w:asciiTheme="minorHAnsi" w:eastAsiaTheme="minorHAnsi" w:hAnsiTheme="minorHAnsi" w:cstheme="minorBidi"/>
          <w:sz w:val="22"/>
          <w:szCs w:val="22"/>
          <w:lang w:val="en-US"/>
        </w:rPr>
        <w:t>all equipment needed to complete the surveys. All equipment provided for the data collection will remain the property of the consultant. As part of the technology transfer, the consultant is required to train the MOPWH's RAMS Unit staff on the use, maintenance</w:t>
      </w:r>
      <w:r w:rsidR="00B419E8">
        <w:rPr>
          <w:rFonts w:asciiTheme="minorHAnsi" w:eastAsiaTheme="minorHAnsi" w:hAnsiTheme="minorHAnsi" w:cstheme="minorBidi"/>
          <w:sz w:val="22"/>
          <w:szCs w:val="22"/>
          <w:lang w:val="en-US"/>
        </w:rPr>
        <w:t>,</w:t>
      </w:r>
      <w:r w:rsidRPr="00EC0904">
        <w:rPr>
          <w:rFonts w:asciiTheme="minorHAnsi" w:eastAsiaTheme="minorHAnsi" w:hAnsiTheme="minorHAnsi" w:cstheme="minorBidi"/>
          <w:sz w:val="22"/>
          <w:szCs w:val="22"/>
          <w:lang w:val="en-US"/>
        </w:rPr>
        <w:t xml:space="preserve"> and calibration procedure of these equipment. </w:t>
      </w:r>
    </w:p>
    <w:p w14:paraId="0AD5618D" w14:textId="370C0509" w:rsidR="002E7810" w:rsidRDefault="002E7810" w:rsidP="00F07EB6">
      <w:pPr>
        <w:pStyle w:val="ListBullet"/>
        <w:numPr>
          <w:ilvl w:val="0"/>
          <w:numId w:val="0"/>
        </w:numPr>
        <w:ind w:firstLine="19"/>
        <w:jc w:val="both"/>
        <w:rPr>
          <w:rFonts w:asciiTheme="minorHAnsi" w:eastAsiaTheme="minorHAnsi" w:hAnsiTheme="minorHAnsi" w:cstheme="minorBidi"/>
          <w:sz w:val="22"/>
          <w:szCs w:val="22"/>
          <w:lang w:val="en-US"/>
        </w:rPr>
      </w:pPr>
    </w:p>
    <w:p w14:paraId="7893FC23" w14:textId="77777777" w:rsidR="00B419E8" w:rsidRDefault="00B419E8" w:rsidP="002E7810">
      <w:pPr>
        <w:jc w:val="center"/>
        <w:rPr>
          <w:b/>
          <w:bCs/>
          <w:lang w:val="en-US"/>
        </w:rPr>
        <w:sectPr w:rsidR="00B419E8">
          <w:pgSz w:w="12240" w:h="15840"/>
          <w:pgMar w:top="1440" w:right="1440" w:bottom="1440" w:left="1440" w:header="720" w:footer="720" w:gutter="0"/>
          <w:cols w:space="720"/>
          <w:docGrid w:linePitch="360"/>
        </w:sectPr>
      </w:pPr>
    </w:p>
    <w:p w14:paraId="5E70B1E5" w14:textId="0B23D44B" w:rsidR="002E7810" w:rsidRPr="00EC0904" w:rsidRDefault="002E7810" w:rsidP="002E7810">
      <w:pPr>
        <w:jc w:val="center"/>
        <w:rPr>
          <w:b/>
          <w:bCs/>
          <w:lang w:val="en-US"/>
        </w:rPr>
      </w:pPr>
      <w:r w:rsidRPr="00EC0904">
        <w:rPr>
          <w:b/>
          <w:bCs/>
          <w:lang w:val="en-US"/>
        </w:rPr>
        <w:lastRenderedPageBreak/>
        <w:t>Jordan’s Road and Highway Map and Inventory</w:t>
      </w:r>
    </w:p>
    <w:p w14:paraId="246579D5" w14:textId="7C84D31F" w:rsidR="002E7810" w:rsidRPr="00EC0904" w:rsidRDefault="002E7810" w:rsidP="0089787C">
      <w:pPr>
        <w:jc w:val="both"/>
        <w:rPr>
          <w:b/>
          <w:bCs/>
          <w:lang w:val="en-US"/>
        </w:rPr>
      </w:pPr>
      <w:r w:rsidRPr="00EC0904">
        <w:rPr>
          <w:b/>
          <w:bCs/>
          <w:lang w:val="en-US"/>
        </w:rPr>
        <w:t>Jordan Roads and Map-</w:t>
      </w:r>
      <w:r w:rsidR="0089787C">
        <w:rPr>
          <w:b/>
          <w:bCs/>
          <w:lang w:val="en-US"/>
        </w:rPr>
        <w:t>2021 (as following)</w:t>
      </w:r>
    </w:p>
    <w:tbl>
      <w:tblPr>
        <w:tblW w:w="8439" w:type="dxa"/>
        <w:tblCellMar>
          <w:left w:w="0" w:type="dxa"/>
          <w:right w:w="0" w:type="dxa"/>
        </w:tblCellMar>
        <w:tblLook w:val="0600" w:firstRow="0" w:lastRow="0" w:firstColumn="0" w:lastColumn="0" w:noHBand="1" w:noVBand="1"/>
      </w:tblPr>
      <w:tblGrid>
        <w:gridCol w:w="1113"/>
        <w:gridCol w:w="1875"/>
        <w:gridCol w:w="1655"/>
        <w:gridCol w:w="1928"/>
        <w:gridCol w:w="1868"/>
      </w:tblGrid>
      <w:tr w:rsidR="0013668B" w:rsidRPr="00EC0904" w14:paraId="6A0C1E41" w14:textId="77777777" w:rsidTr="0013668B">
        <w:trPr>
          <w:trHeight w:val="205"/>
        </w:trPr>
        <w:tc>
          <w:tcPr>
            <w:tcW w:w="1113"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3FF9979"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Region</w:t>
            </w: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FAFA088"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Governorate</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FAE589F"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Primary, Km</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E8AB617"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Secondary, Km</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A783A3D"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Rural, Km</w:t>
            </w:r>
          </w:p>
        </w:tc>
      </w:tr>
      <w:tr w:rsidR="0013668B" w:rsidRPr="00EC0904" w14:paraId="4E06EFF0" w14:textId="77777777" w:rsidTr="00B15D85">
        <w:trPr>
          <w:trHeight w:val="205"/>
        </w:trPr>
        <w:tc>
          <w:tcPr>
            <w:tcW w:w="1113" w:type="dxa"/>
            <w:vMerge w:val="restart"/>
            <w:tcBorders>
              <w:top w:val="single" w:sz="4" w:space="0" w:color="4472C4"/>
              <w:left w:val="single" w:sz="4" w:space="0" w:color="4472C4"/>
              <w:right w:val="single" w:sz="4" w:space="0" w:color="4472C4"/>
            </w:tcBorders>
            <w:shd w:val="clear" w:color="auto" w:fill="D9E1F2"/>
            <w:tcMar>
              <w:top w:w="13" w:type="dxa"/>
              <w:left w:w="13" w:type="dxa"/>
              <w:bottom w:w="0" w:type="dxa"/>
              <w:right w:w="13" w:type="dxa"/>
            </w:tcMar>
            <w:vAlign w:val="bottom"/>
            <w:hideMark/>
          </w:tcPr>
          <w:p w14:paraId="69D1F865"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North</w:t>
            </w:r>
          </w:p>
          <w:p w14:paraId="6DF19C9F" w14:textId="7FADD6C0"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9126703"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Irbid</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206C39F"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236</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88B62F5"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335</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66033AF" w14:textId="78A8C7B6"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3</w:t>
            </w:r>
            <w:r>
              <w:rPr>
                <w:rFonts w:ascii="Calibri" w:eastAsia="Times New Roman" w:hAnsi="Calibri" w:cs="Calibri"/>
                <w:color w:val="000000"/>
                <w:kern w:val="24"/>
                <w:lang w:val="en-US"/>
              </w:rPr>
              <w:t>51</w:t>
            </w:r>
          </w:p>
        </w:tc>
      </w:tr>
      <w:tr w:rsidR="0013668B" w:rsidRPr="00EC0904" w14:paraId="398028AC" w14:textId="77777777" w:rsidTr="00B15D85">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hideMark/>
          </w:tcPr>
          <w:p w14:paraId="7B2FA60C" w14:textId="76710B78"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E020EB8"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Ramtha</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FFBAC7E" w14:textId="26994CC4"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41</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5153D28" w14:textId="28E8F7D7"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55</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AD80A23" w14:textId="4520366E"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15</w:t>
            </w:r>
          </w:p>
        </w:tc>
      </w:tr>
      <w:tr w:rsidR="0013668B" w:rsidRPr="00EC0904" w14:paraId="7B30DBAF" w14:textId="77777777" w:rsidTr="00B15D85">
        <w:trPr>
          <w:trHeight w:val="205"/>
        </w:trPr>
        <w:tc>
          <w:tcPr>
            <w:tcW w:w="1113" w:type="dxa"/>
            <w:vMerge/>
            <w:tcBorders>
              <w:left w:val="single" w:sz="4" w:space="0" w:color="4472C4"/>
              <w:right w:val="single" w:sz="4" w:space="0" w:color="4472C4"/>
            </w:tcBorders>
            <w:shd w:val="clear" w:color="auto" w:fill="D9E1F2"/>
            <w:tcMar>
              <w:top w:w="13" w:type="dxa"/>
              <w:left w:w="13" w:type="dxa"/>
              <w:bottom w:w="0" w:type="dxa"/>
              <w:right w:w="13" w:type="dxa"/>
            </w:tcMar>
            <w:vAlign w:val="bottom"/>
            <w:hideMark/>
          </w:tcPr>
          <w:p w14:paraId="04A5222F" w14:textId="45CBFC44"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E1D146E"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Al Mafraq</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CA59202"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520</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6DF2C99" w14:textId="0D9B1CC9"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w:t>
            </w:r>
            <w:r>
              <w:rPr>
                <w:rFonts w:ascii="Calibri" w:eastAsia="Times New Roman" w:hAnsi="Calibri" w:cs="Calibri"/>
                <w:color w:val="000000"/>
                <w:kern w:val="24"/>
                <w:lang w:val="en-US"/>
              </w:rPr>
              <w:t>70</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ABEA334"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580</w:t>
            </w:r>
          </w:p>
        </w:tc>
      </w:tr>
      <w:tr w:rsidR="0013668B" w:rsidRPr="00EC0904" w14:paraId="6E69FC3D" w14:textId="77777777" w:rsidTr="00B15D85">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hideMark/>
          </w:tcPr>
          <w:p w14:paraId="1C68B586" w14:textId="51D0A5DC"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8088D59"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Jerash</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B238DF5"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95</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E09EF4F"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108</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E2E748D"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235</w:t>
            </w:r>
          </w:p>
        </w:tc>
      </w:tr>
      <w:tr w:rsidR="0013668B" w:rsidRPr="00EC0904" w14:paraId="1B317702" w14:textId="77777777" w:rsidTr="00B15D85">
        <w:trPr>
          <w:trHeight w:val="205"/>
        </w:trPr>
        <w:tc>
          <w:tcPr>
            <w:tcW w:w="1113" w:type="dxa"/>
            <w:vMerge/>
            <w:tcBorders>
              <w:left w:val="single" w:sz="4" w:space="0" w:color="4472C4"/>
              <w:right w:val="single" w:sz="4" w:space="0" w:color="4472C4"/>
            </w:tcBorders>
            <w:shd w:val="clear" w:color="auto" w:fill="D9E1F2"/>
            <w:tcMar>
              <w:top w:w="13" w:type="dxa"/>
              <w:left w:w="13" w:type="dxa"/>
              <w:bottom w:w="0" w:type="dxa"/>
              <w:right w:w="13" w:type="dxa"/>
            </w:tcMar>
            <w:vAlign w:val="bottom"/>
            <w:hideMark/>
          </w:tcPr>
          <w:p w14:paraId="72FEB47B" w14:textId="18FBAE76"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05ECA7F" w14:textId="77777777" w:rsidR="0013668B" w:rsidRPr="00EC0904" w:rsidRDefault="0013668B" w:rsidP="00C23281">
            <w:pPr>
              <w:spacing w:after="0" w:line="240" w:lineRule="auto"/>
              <w:jc w:val="both"/>
              <w:textAlignment w:val="bottom"/>
              <w:rPr>
                <w:rFonts w:ascii="Arial" w:eastAsia="Times New Roman" w:hAnsi="Arial" w:cs="Arial"/>
                <w:lang w:val="en-US"/>
              </w:rPr>
            </w:pPr>
            <w:proofErr w:type="spellStart"/>
            <w:r w:rsidRPr="00EC0904">
              <w:rPr>
                <w:rFonts w:ascii="Calibri" w:eastAsia="Times New Roman" w:hAnsi="Calibri" w:cs="Calibri"/>
                <w:color w:val="000000"/>
                <w:kern w:val="24"/>
                <w:lang w:val="en-US"/>
              </w:rPr>
              <w:t>Ajloun</w:t>
            </w:r>
            <w:proofErr w:type="spellEnd"/>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F8B2EB2"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50</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98B4438" w14:textId="6A8BA89A"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142</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EC50537" w14:textId="285D485A"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56</w:t>
            </w:r>
          </w:p>
        </w:tc>
      </w:tr>
      <w:tr w:rsidR="0013668B" w:rsidRPr="00EC0904" w14:paraId="25831E89" w14:textId="77777777" w:rsidTr="00B15D85">
        <w:trPr>
          <w:trHeight w:val="205"/>
        </w:trPr>
        <w:tc>
          <w:tcPr>
            <w:tcW w:w="1113" w:type="dxa"/>
            <w:vMerge/>
            <w:tcBorders>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3AF4218" w14:textId="215505B3"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5877FAB"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Sub. Total</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A397AA5" w14:textId="67BC5912"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9</w:t>
            </w:r>
            <w:r>
              <w:rPr>
                <w:rFonts w:ascii="Calibri" w:eastAsia="Times New Roman" w:hAnsi="Calibri" w:cs="Calibri"/>
                <w:b/>
                <w:bCs/>
                <w:color w:val="000000"/>
                <w:kern w:val="24"/>
                <w:lang w:val="en-US"/>
              </w:rPr>
              <w:t>42</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A22D645" w14:textId="68C41E4A"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b/>
                <w:bCs/>
                <w:color w:val="000000"/>
                <w:kern w:val="24"/>
                <w:lang w:val="en-US"/>
              </w:rPr>
              <w:t>910</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582F619" w14:textId="22103423"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12</w:t>
            </w:r>
            <w:r>
              <w:rPr>
                <w:rFonts w:ascii="Calibri" w:eastAsia="Times New Roman" w:hAnsi="Calibri" w:cs="Calibri"/>
                <w:b/>
                <w:bCs/>
                <w:color w:val="000000"/>
                <w:kern w:val="24"/>
                <w:lang w:val="en-US"/>
              </w:rPr>
              <w:t>37</w:t>
            </w:r>
          </w:p>
        </w:tc>
      </w:tr>
      <w:tr w:rsidR="0013668B" w:rsidRPr="00EC0904" w14:paraId="70EFDD7A" w14:textId="77777777" w:rsidTr="00BE39B8">
        <w:trPr>
          <w:trHeight w:val="205"/>
        </w:trPr>
        <w:tc>
          <w:tcPr>
            <w:tcW w:w="1113" w:type="dxa"/>
            <w:vMerge w:val="restart"/>
            <w:tcBorders>
              <w:top w:val="single" w:sz="4" w:space="0" w:color="4472C4"/>
              <w:left w:val="single" w:sz="4" w:space="0" w:color="4472C4"/>
              <w:right w:val="single" w:sz="4" w:space="0" w:color="4472C4"/>
            </w:tcBorders>
            <w:shd w:val="clear" w:color="auto" w:fill="D9E1F2"/>
            <w:tcMar>
              <w:top w:w="13" w:type="dxa"/>
              <w:left w:w="13" w:type="dxa"/>
              <w:bottom w:w="0" w:type="dxa"/>
              <w:right w:w="13" w:type="dxa"/>
            </w:tcMar>
            <w:vAlign w:val="bottom"/>
            <w:hideMark/>
          </w:tcPr>
          <w:p w14:paraId="323739AC"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Middle</w:t>
            </w: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BAC5567"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Amman</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D5502B1"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306</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1553BEE"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190</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DE90E92"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529</w:t>
            </w:r>
          </w:p>
        </w:tc>
      </w:tr>
      <w:tr w:rsidR="0013668B" w:rsidRPr="00EC0904" w14:paraId="2D21AEDC" w14:textId="77777777" w:rsidTr="00BE39B8">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tcPr>
          <w:p w14:paraId="3D1077AC" w14:textId="4B14921D"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BCBE01F"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Al Balqa</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761C88D" w14:textId="1CA49BD6"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ED7D31"/>
                <w:kern w:val="24"/>
                <w:lang w:val="en-US"/>
              </w:rPr>
              <w:t>227</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D57810C"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136</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0FE6933"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287</w:t>
            </w:r>
          </w:p>
        </w:tc>
      </w:tr>
      <w:tr w:rsidR="0013668B" w:rsidRPr="00EC0904" w14:paraId="41332ADA" w14:textId="77777777" w:rsidTr="00BE39B8">
        <w:trPr>
          <w:trHeight w:val="205"/>
        </w:trPr>
        <w:tc>
          <w:tcPr>
            <w:tcW w:w="1113" w:type="dxa"/>
            <w:vMerge/>
            <w:tcBorders>
              <w:left w:val="single" w:sz="4" w:space="0" w:color="4472C4"/>
              <w:right w:val="single" w:sz="4" w:space="0" w:color="4472C4"/>
            </w:tcBorders>
            <w:shd w:val="clear" w:color="auto" w:fill="D9E1F2"/>
            <w:tcMar>
              <w:top w:w="13" w:type="dxa"/>
              <w:left w:w="13" w:type="dxa"/>
              <w:bottom w:w="0" w:type="dxa"/>
              <w:right w:w="13" w:type="dxa"/>
            </w:tcMar>
            <w:vAlign w:val="bottom"/>
          </w:tcPr>
          <w:p w14:paraId="003DED64" w14:textId="6F3640DE"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2C8C308"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Al Zarqa</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AEF0278" w14:textId="4A1AE4CE"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ED7D31"/>
                <w:kern w:val="24"/>
                <w:lang w:val="en-US"/>
              </w:rPr>
              <w:t>350</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E3E816C" w14:textId="1EF181B1"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ED7D31"/>
                <w:kern w:val="24"/>
                <w:lang w:val="en-US"/>
              </w:rPr>
              <w:t>153</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EF7DF2E" w14:textId="23D249EA"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ED7D31"/>
                <w:kern w:val="24"/>
                <w:lang w:val="en-US"/>
              </w:rPr>
              <w:t>154</w:t>
            </w:r>
          </w:p>
        </w:tc>
      </w:tr>
      <w:tr w:rsidR="0013668B" w:rsidRPr="00EC0904" w14:paraId="36D8784B" w14:textId="77777777" w:rsidTr="00BE39B8">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tcPr>
          <w:p w14:paraId="62FFBF51" w14:textId="0F6378CA"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85B6344"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Madaba</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4FBDD34"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131</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D61E1E4"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120</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F23C509" w14:textId="699D6B33"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ED7D31"/>
                <w:kern w:val="24"/>
                <w:lang w:val="en-US"/>
              </w:rPr>
              <w:t>1</w:t>
            </w:r>
            <w:r>
              <w:rPr>
                <w:rFonts w:ascii="Calibri" w:eastAsia="Times New Roman" w:hAnsi="Calibri" w:cs="Calibri"/>
                <w:color w:val="ED7D31"/>
                <w:kern w:val="24"/>
                <w:lang w:val="en-US"/>
              </w:rPr>
              <w:t>88</w:t>
            </w:r>
          </w:p>
        </w:tc>
      </w:tr>
      <w:tr w:rsidR="0013668B" w:rsidRPr="00EC0904" w14:paraId="6BDD0B7C" w14:textId="77777777" w:rsidTr="0013668B">
        <w:trPr>
          <w:trHeight w:val="205"/>
        </w:trPr>
        <w:tc>
          <w:tcPr>
            <w:tcW w:w="1113" w:type="dxa"/>
            <w:vMerge/>
            <w:tcBorders>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tcPr>
          <w:p w14:paraId="298B94F0" w14:textId="761DA5D6"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ADD7DCC"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ED7D31"/>
                <w:kern w:val="24"/>
                <w:lang w:val="en-US"/>
              </w:rPr>
              <w:t>Sub. Total</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tcPr>
          <w:p w14:paraId="4E2FE74E" w14:textId="0E9A1881"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1014</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tcPr>
          <w:p w14:paraId="1EC98044" w14:textId="48AAD5D8"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599</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tcPr>
          <w:p w14:paraId="334A7DE1" w14:textId="5CDA9629"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1158</w:t>
            </w:r>
          </w:p>
        </w:tc>
      </w:tr>
      <w:tr w:rsidR="0013668B" w:rsidRPr="00EC0904" w14:paraId="674BC91B" w14:textId="77777777" w:rsidTr="00A62DE4">
        <w:trPr>
          <w:trHeight w:val="205"/>
        </w:trPr>
        <w:tc>
          <w:tcPr>
            <w:tcW w:w="1113" w:type="dxa"/>
            <w:vMerge w:val="restart"/>
            <w:tcBorders>
              <w:top w:val="single" w:sz="4" w:space="0" w:color="4472C4"/>
              <w:left w:val="single" w:sz="4" w:space="0" w:color="4472C4"/>
              <w:right w:val="single" w:sz="4" w:space="0" w:color="4472C4"/>
            </w:tcBorders>
            <w:shd w:val="clear" w:color="auto" w:fill="auto"/>
            <w:tcMar>
              <w:top w:w="13" w:type="dxa"/>
              <w:left w:w="13" w:type="dxa"/>
              <w:bottom w:w="0" w:type="dxa"/>
              <w:right w:w="13" w:type="dxa"/>
            </w:tcMar>
            <w:vAlign w:val="bottom"/>
            <w:hideMark/>
          </w:tcPr>
          <w:p w14:paraId="1A0E960D"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 xml:space="preserve">South </w:t>
            </w: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C9F29E5"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Al Karak</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117005F"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295</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A760F9C"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175</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E419803"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207</w:t>
            </w:r>
          </w:p>
        </w:tc>
      </w:tr>
      <w:tr w:rsidR="0013668B" w:rsidRPr="00EC0904" w14:paraId="34FEA925" w14:textId="77777777" w:rsidTr="00A62DE4">
        <w:trPr>
          <w:trHeight w:val="205"/>
        </w:trPr>
        <w:tc>
          <w:tcPr>
            <w:tcW w:w="1113" w:type="dxa"/>
            <w:vMerge/>
            <w:tcBorders>
              <w:left w:val="single" w:sz="4" w:space="0" w:color="4472C4"/>
              <w:right w:val="single" w:sz="4" w:space="0" w:color="4472C4"/>
            </w:tcBorders>
            <w:shd w:val="clear" w:color="auto" w:fill="D9E1F2"/>
            <w:tcMar>
              <w:top w:w="13" w:type="dxa"/>
              <w:left w:w="13" w:type="dxa"/>
              <w:bottom w:w="0" w:type="dxa"/>
              <w:right w:w="13" w:type="dxa"/>
            </w:tcMar>
            <w:vAlign w:val="bottom"/>
          </w:tcPr>
          <w:p w14:paraId="616F0CF7" w14:textId="48BF82CD"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C5138BE"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 xml:space="preserve">At </w:t>
            </w:r>
            <w:proofErr w:type="spellStart"/>
            <w:r>
              <w:rPr>
                <w:rFonts w:ascii="Calibri" w:eastAsia="Times New Roman" w:hAnsi="Calibri" w:cs="Calibri"/>
                <w:color w:val="000000"/>
                <w:kern w:val="24"/>
                <w:lang w:val="en-US"/>
              </w:rPr>
              <w:t>Tafilah</w:t>
            </w:r>
            <w:proofErr w:type="spellEnd"/>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2FAC922"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260</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A02FDC8" w14:textId="62A72B71"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16</w:t>
            </w:r>
            <w:r>
              <w:rPr>
                <w:rFonts w:ascii="Calibri" w:eastAsia="Times New Roman" w:hAnsi="Calibri" w:cs="Calibri"/>
                <w:color w:val="000000"/>
                <w:kern w:val="24"/>
                <w:lang w:val="en-US"/>
              </w:rPr>
              <w:t>6</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FCED917" w14:textId="59901AE2"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16</w:t>
            </w:r>
            <w:r>
              <w:rPr>
                <w:rFonts w:ascii="Calibri" w:eastAsia="Times New Roman" w:hAnsi="Calibri" w:cs="Calibri"/>
                <w:color w:val="000000"/>
                <w:kern w:val="24"/>
                <w:lang w:val="en-US"/>
              </w:rPr>
              <w:t>5</w:t>
            </w:r>
          </w:p>
        </w:tc>
      </w:tr>
      <w:tr w:rsidR="0013668B" w:rsidRPr="00EC0904" w14:paraId="2EF69512" w14:textId="77777777" w:rsidTr="00A62DE4">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tcPr>
          <w:p w14:paraId="28ABB0F5" w14:textId="7609DF7E"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DB0698A"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Ma'an</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3CDB85C" w14:textId="053F7903"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56</w:t>
            </w:r>
            <w:r>
              <w:rPr>
                <w:rFonts w:ascii="Calibri" w:eastAsia="Times New Roman" w:hAnsi="Calibri" w:cs="Calibri"/>
                <w:color w:val="000000"/>
                <w:kern w:val="24"/>
                <w:lang w:val="en-US"/>
              </w:rPr>
              <w:t>6</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6268A79" w14:textId="205B62E0" w:rsidR="0013668B" w:rsidRPr="00EC0904" w:rsidRDefault="0013668B" w:rsidP="0013668B">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300</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F9B10C2" w14:textId="5A2A94F5"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color w:val="000000"/>
                <w:kern w:val="24"/>
                <w:lang w:val="en-US"/>
              </w:rPr>
              <w:t>63</w:t>
            </w:r>
          </w:p>
        </w:tc>
      </w:tr>
      <w:tr w:rsidR="0013668B" w:rsidRPr="00EC0904" w14:paraId="23F1C64F" w14:textId="77777777" w:rsidTr="00A62DE4">
        <w:trPr>
          <w:trHeight w:val="205"/>
        </w:trPr>
        <w:tc>
          <w:tcPr>
            <w:tcW w:w="1113" w:type="dxa"/>
            <w:vMerge/>
            <w:tcBorders>
              <w:left w:val="single" w:sz="4" w:space="0" w:color="4472C4"/>
              <w:right w:val="single" w:sz="4" w:space="0" w:color="4472C4"/>
            </w:tcBorders>
            <w:shd w:val="clear" w:color="auto" w:fill="D9E1F2"/>
            <w:tcMar>
              <w:top w:w="13" w:type="dxa"/>
              <w:left w:w="13" w:type="dxa"/>
              <w:bottom w:w="0" w:type="dxa"/>
              <w:right w:w="13" w:type="dxa"/>
            </w:tcMar>
            <w:vAlign w:val="bottom"/>
          </w:tcPr>
          <w:p w14:paraId="44C1AD4E" w14:textId="73CFC9A0"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522540A"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Al Petra</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0FEE125"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D10164A"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39</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1D340A86"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27</w:t>
            </w:r>
          </w:p>
        </w:tc>
      </w:tr>
      <w:tr w:rsidR="0013668B" w:rsidRPr="00EC0904" w14:paraId="62575D4A" w14:textId="77777777" w:rsidTr="00A62DE4">
        <w:trPr>
          <w:trHeight w:val="205"/>
        </w:trPr>
        <w:tc>
          <w:tcPr>
            <w:tcW w:w="1113" w:type="dxa"/>
            <w:vMerge/>
            <w:tcBorders>
              <w:left w:val="single" w:sz="4" w:space="0" w:color="4472C4"/>
              <w:right w:val="single" w:sz="4" w:space="0" w:color="4472C4"/>
            </w:tcBorders>
            <w:shd w:val="clear" w:color="auto" w:fill="auto"/>
            <w:tcMar>
              <w:top w:w="13" w:type="dxa"/>
              <w:left w:w="13" w:type="dxa"/>
              <w:bottom w:w="0" w:type="dxa"/>
              <w:right w:w="13" w:type="dxa"/>
            </w:tcMar>
            <w:vAlign w:val="bottom"/>
          </w:tcPr>
          <w:p w14:paraId="0D517C60" w14:textId="0576EBDA"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A1D20C8"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Al Aqaba</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A7F4B16" w14:textId="7D6BFDB5"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32</w:t>
            </w:r>
            <w:r>
              <w:rPr>
                <w:rFonts w:ascii="Calibri" w:eastAsia="Times New Roman" w:hAnsi="Calibri" w:cs="Calibri"/>
                <w:color w:val="000000"/>
                <w:kern w:val="24"/>
                <w:lang w:val="en-US"/>
              </w:rPr>
              <w:t>1</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07047D6"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172</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E80A31A"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color w:val="000000"/>
                <w:kern w:val="24"/>
                <w:lang w:val="en-US"/>
              </w:rPr>
              <w:t>51</w:t>
            </w:r>
          </w:p>
        </w:tc>
      </w:tr>
      <w:tr w:rsidR="0013668B" w:rsidRPr="00EC0904" w14:paraId="346007FA" w14:textId="77777777" w:rsidTr="00A62DE4">
        <w:trPr>
          <w:trHeight w:val="205"/>
        </w:trPr>
        <w:tc>
          <w:tcPr>
            <w:tcW w:w="1113" w:type="dxa"/>
            <w:vMerge/>
            <w:tcBorders>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tcPr>
          <w:p w14:paraId="4CA2BFDE" w14:textId="3E42ACE3" w:rsidR="0013668B" w:rsidRPr="00EC0904" w:rsidRDefault="0013668B" w:rsidP="00C23281">
            <w:pPr>
              <w:spacing w:after="0" w:line="240" w:lineRule="auto"/>
              <w:jc w:val="both"/>
              <w:textAlignment w:val="bottom"/>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1AA77547"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Sub. Total</w:t>
            </w:r>
          </w:p>
        </w:tc>
        <w:tc>
          <w:tcPr>
            <w:tcW w:w="1655"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54ADF2A" w14:textId="639574E3" w:rsidR="0013668B" w:rsidRPr="00EC0904" w:rsidRDefault="0013668B" w:rsidP="0013668B">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000000"/>
                <w:kern w:val="24"/>
                <w:lang w:val="en-US"/>
              </w:rPr>
              <w:t>144</w:t>
            </w:r>
            <w:r>
              <w:rPr>
                <w:rFonts w:ascii="Calibri" w:eastAsia="Times New Roman" w:hAnsi="Calibri" w:cs="Calibri"/>
                <w:b/>
                <w:bCs/>
                <w:color w:val="000000"/>
                <w:kern w:val="24"/>
                <w:lang w:val="en-US"/>
              </w:rPr>
              <w:t>7</w:t>
            </w:r>
          </w:p>
        </w:tc>
        <w:tc>
          <w:tcPr>
            <w:tcW w:w="192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46014D7" w14:textId="068D33CB"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b/>
                <w:bCs/>
                <w:color w:val="000000"/>
                <w:kern w:val="24"/>
                <w:lang w:val="en-US"/>
              </w:rPr>
              <w:t>852</w:t>
            </w:r>
          </w:p>
        </w:tc>
        <w:tc>
          <w:tcPr>
            <w:tcW w:w="186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50C59FE" w14:textId="4E76860E" w:rsidR="0013668B" w:rsidRPr="00EC0904" w:rsidRDefault="0013668B" w:rsidP="00C23281">
            <w:pPr>
              <w:spacing w:after="0" w:line="240" w:lineRule="auto"/>
              <w:jc w:val="both"/>
              <w:textAlignment w:val="bottom"/>
              <w:rPr>
                <w:rFonts w:ascii="Arial" w:eastAsia="Times New Roman" w:hAnsi="Arial" w:cs="Arial"/>
                <w:lang w:val="en-US"/>
              </w:rPr>
            </w:pPr>
            <w:r>
              <w:rPr>
                <w:rFonts w:ascii="Calibri" w:eastAsia="Times New Roman" w:hAnsi="Calibri" w:cs="Calibri"/>
                <w:b/>
                <w:bCs/>
                <w:color w:val="000000"/>
                <w:kern w:val="24"/>
                <w:lang w:val="en-US"/>
              </w:rPr>
              <w:t>513</w:t>
            </w:r>
          </w:p>
        </w:tc>
      </w:tr>
      <w:tr w:rsidR="0013668B" w:rsidRPr="00EC0904" w14:paraId="016F1D84" w14:textId="77777777" w:rsidTr="0013668B">
        <w:trPr>
          <w:trHeight w:val="389"/>
        </w:trPr>
        <w:tc>
          <w:tcPr>
            <w:tcW w:w="1113"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31EE446" w14:textId="77777777" w:rsidR="0013668B" w:rsidRPr="00EC0904" w:rsidRDefault="0013668B" w:rsidP="00C23281">
            <w:pPr>
              <w:spacing w:after="0" w:line="240" w:lineRule="auto"/>
              <w:jc w:val="both"/>
              <w:rPr>
                <w:rFonts w:ascii="Arial" w:eastAsia="Times New Roman" w:hAnsi="Arial" w:cs="Arial"/>
                <w:lang w:val="en-US"/>
              </w:rPr>
            </w:pPr>
          </w:p>
        </w:tc>
        <w:tc>
          <w:tcPr>
            <w:tcW w:w="187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3284532" w14:textId="77777777" w:rsidR="0013668B" w:rsidRPr="00EC0904" w:rsidRDefault="0013668B" w:rsidP="00C23281">
            <w:pPr>
              <w:spacing w:after="0" w:line="240" w:lineRule="auto"/>
              <w:jc w:val="both"/>
              <w:textAlignment w:val="bottom"/>
              <w:rPr>
                <w:rFonts w:ascii="Arial" w:eastAsia="Times New Roman" w:hAnsi="Arial" w:cs="Arial"/>
                <w:lang w:val="en-US"/>
              </w:rPr>
            </w:pPr>
            <w:r w:rsidRPr="00EC0904">
              <w:rPr>
                <w:rFonts w:ascii="Calibri" w:eastAsia="Times New Roman" w:hAnsi="Calibri" w:cs="Calibri"/>
                <w:b/>
                <w:bCs/>
                <w:color w:val="FF0000"/>
                <w:kern w:val="24"/>
                <w:lang w:val="en-US"/>
              </w:rPr>
              <w:t>G. Total</w:t>
            </w:r>
          </w:p>
        </w:tc>
        <w:tc>
          <w:tcPr>
            <w:tcW w:w="1655"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tcPr>
          <w:p w14:paraId="2AF35AFE" w14:textId="37B1C5CC"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3403</w:t>
            </w:r>
          </w:p>
        </w:tc>
        <w:tc>
          <w:tcPr>
            <w:tcW w:w="192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tcPr>
          <w:p w14:paraId="54F69538" w14:textId="39FDF2C2"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2361</w:t>
            </w:r>
          </w:p>
        </w:tc>
        <w:tc>
          <w:tcPr>
            <w:tcW w:w="186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tcPr>
          <w:p w14:paraId="12C7621C" w14:textId="5E56D989" w:rsidR="0013668B" w:rsidRPr="00EC0904" w:rsidRDefault="0013668B" w:rsidP="00C23281">
            <w:pPr>
              <w:spacing w:after="0" w:line="240" w:lineRule="auto"/>
              <w:jc w:val="both"/>
              <w:textAlignment w:val="bottom"/>
              <w:rPr>
                <w:rFonts w:ascii="Arial" w:eastAsia="Times New Roman" w:hAnsi="Arial" w:cs="Arial"/>
                <w:lang w:val="en-US"/>
              </w:rPr>
            </w:pPr>
            <w:r>
              <w:rPr>
                <w:rFonts w:ascii="Arial" w:eastAsia="Times New Roman" w:hAnsi="Arial" w:cs="Arial"/>
                <w:lang w:val="en-US"/>
              </w:rPr>
              <w:t>2908</w:t>
            </w:r>
          </w:p>
        </w:tc>
      </w:tr>
    </w:tbl>
    <w:p w14:paraId="1ECC076E" w14:textId="77777777" w:rsidR="002E7810" w:rsidRPr="00EC0904" w:rsidRDefault="002E7810" w:rsidP="002E7810">
      <w:pPr>
        <w:jc w:val="both"/>
        <w:rPr>
          <w:b/>
          <w:bCs/>
          <w:lang w:val="en-US"/>
        </w:rPr>
      </w:pPr>
    </w:p>
    <w:p w14:paraId="632A078E" w14:textId="1445BC77" w:rsidR="002E7810" w:rsidRPr="00EC0904" w:rsidRDefault="002E7810" w:rsidP="002E7810">
      <w:pPr>
        <w:pStyle w:val="ListBullet"/>
        <w:numPr>
          <w:ilvl w:val="0"/>
          <w:numId w:val="0"/>
        </w:numPr>
        <w:ind w:firstLine="19"/>
        <w:jc w:val="both"/>
        <w:rPr>
          <w:rFonts w:asciiTheme="minorHAnsi" w:eastAsiaTheme="minorHAnsi" w:hAnsiTheme="minorHAnsi" w:cstheme="minorBidi"/>
          <w:sz w:val="22"/>
          <w:szCs w:val="22"/>
          <w:lang w:val="en-US"/>
        </w:rPr>
      </w:pPr>
      <w:r w:rsidRPr="00EC0904">
        <w:rPr>
          <w:b/>
          <w:bCs/>
          <w:noProof/>
          <w:lang w:val="en-US"/>
        </w:rPr>
        <w:drawing>
          <wp:inline distT="0" distB="0" distL="0" distR="0" wp14:anchorId="525BD45E" wp14:editId="5EAD2B88">
            <wp:extent cx="4930726" cy="3221162"/>
            <wp:effectExtent l="0" t="0" r="3810" b="0"/>
            <wp:docPr id="6" name="Content Placeholder 5">
              <a:extLst xmlns:a="http://schemas.openxmlformats.org/drawingml/2006/main">
                <a:ext uri="{FF2B5EF4-FFF2-40B4-BE49-F238E27FC236}">
                  <a16:creationId xmlns:a16="http://schemas.microsoft.com/office/drawing/2014/main" id="{EF614D4B-7E83-4B09-9E7D-EBF4F9A18A1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F614D4B-7E83-4B09-9E7D-EBF4F9A18A18}"/>
                        </a:ext>
                      </a:extLst>
                    </pic:cNvPr>
                    <pic:cNvPicPr>
                      <a:picLocks noGrp="1" noChangeAspect="1"/>
                    </pic:cNvPicPr>
                  </pic:nvPicPr>
                  <pic:blipFill>
                    <a:blip r:embed="rId8"/>
                    <a:stretch>
                      <a:fillRect/>
                    </a:stretch>
                  </pic:blipFill>
                  <pic:spPr>
                    <a:xfrm>
                      <a:off x="0" y="0"/>
                      <a:ext cx="4960437" cy="3240572"/>
                    </a:xfrm>
                    <a:prstGeom prst="rect">
                      <a:avLst/>
                    </a:prstGeom>
                  </pic:spPr>
                </pic:pic>
              </a:graphicData>
            </a:graphic>
          </wp:inline>
        </w:drawing>
      </w:r>
    </w:p>
    <w:p w14:paraId="40432ABD" w14:textId="77777777" w:rsidR="00F07EB6" w:rsidRPr="00F07EB6" w:rsidRDefault="00F07EB6">
      <w:pPr>
        <w:rPr>
          <w:b/>
          <w:bCs/>
          <w:lang w:val="en-US"/>
        </w:rPr>
      </w:pPr>
    </w:p>
    <w:sectPr w:rsidR="00F07EB6" w:rsidRPr="00F07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6A6C" w14:textId="77777777" w:rsidR="00AC5464" w:rsidRDefault="00AC5464" w:rsidP="00F27EC6">
      <w:pPr>
        <w:spacing w:after="0" w:line="240" w:lineRule="auto"/>
      </w:pPr>
      <w:r>
        <w:separator/>
      </w:r>
    </w:p>
  </w:endnote>
  <w:endnote w:type="continuationSeparator" w:id="0">
    <w:p w14:paraId="0C45A51C" w14:textId="77777777" w:rsidR="00AC5464" w:rsidRDefault="00AC5464" w:rsidP="00F2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6BD4" w14:textId="77777777" w:rsidR="00AC5464" w:rsidRDefault="00AC5464" w:rsidP="00F27EC6">
      <w:pPr>
        <w:spacing w:after="0" w:line="240" w:lineRule="auto"/>
      </w:pPr>
      <w:r>
        <w:separator/>
      </w:r>
    </w:p>
  </w:footnote>
  <w:footnote w:type="continuationSeparator" w:id="0">
    <w:p w14:paraId="246D4C8C" w14:textId="77777777" w:rsidR="00AC5464" w:rsidRDefault="00AC5464" w:rsidP="00F27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12CECC"/>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36C43996"/>
    <w:multiLevelType w:val="hybridMultilevel"/>
    <w:tmpl w:val="2394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64E5C"/>
    <w:multiLevelType w:val="hybridMultilevel"/>
    <w:tmpl w:val="137CDAD2"/>
    <w:lvl w:ilvl="0" w:tplc="2B385042">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0108878">
    <w:abstractNumId w:val="2"/>
  </w:num>
  <w:num w:numId="2" w16cid:durableId="1158837287">
    <w:abstractNumId w:val="1"/>
  </w:num>
  <w:num w:numId="3" w16cid:durableId="153106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C6"/>
    <w:rsid w:val="000C724B"/>
    <w:rsid w:val="0013668B"/>
    <w:rsid w:val="002A2D86"/>
    <w:rsid w:val="002E7810"/>
    <w:rsid w:val="003567DE"/>
    <w:rsid w:val="003A05DF"/>
    <w:rsid w:val="003E530F"/>
    <w:rsid w:val="005E0101"/>
    <w:rsid w:val="00826186"/>
    <w:rsid w:val="00850018"/>
    <w:rsid w:val="0089787C"/>
    <w:rsid w:val="008E1299"/>
    <w:rsid w:val="00A433CF"/>
    <w:rsid w:val="00AC5464"/>
    <w:rsid w:val="00B419E8"/>
    <w:rsid w:val="00DC0C47"/>
    <w:rsid w:val="00F07EB6"/>
    <w:rsid w:val="00F27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0012"/>
  <w15:chartTrackingRefBased/>
  <w15:docId w15:val="{363F7DB4-61EB-4198-876A-EC9D1F0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C6"/>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7EC6"/>
    <w:pPr>
      <w:numPr>
        <w:numId w:val="1"/>
      </w:numPr>
      <w:contextualSpacing/>
    </w:pPr>
  </w:style>
  <w:style w:type="paragraph" w:styleId="CommentText">
    <w:name w:val="annotation text"/>
    <w:basedOn w:val="Normal"/>
    <w:link w:val="CommentTextChar"/>
    <w:uiPriority w:val="99"/>
    <w:unhideWhenUsed/>
    <w:rsid w:val="00F27EC6"/>
    <w:pPr>
      <w:spacing w:line="240" w:lineRule="auto"/>
    </w:pPr>
    <w:rPr>
      <w:sz w:val="20"/>
      <w:szCs w:val="20"/>
    </w:rPr>
  </w:style>
  <w:style w:type="character" w:customStyle="1" w:styleId="CommentTextChar">
    <w:name w:val="Comment Text Char"/>
    <w:basedOn w:val="DefaultParagraphFont"/>
    <w:link w:val="CommentText"/>
    <w:uiPriority w:val="99"/>
    <w:rsid w:val="00F27EC6"/>
    <w:rPr>
      <w:sz w:val="20"/>
      <w:szCs w:val="20"/>
      <w:lang w:val="bs-Latn-BA"/>
    </w:rPr>
  </w:style>
  <w:style w:type="paragraph" w:styleId="ListBullet">
    <w:name w:val="List Bullet"/>
    <w:basedOn w:val="Normal"/>
    <w:rsid w:val="00F07EB6"/>
    <w:pPr>
      <w:numPr>
        <w:numId w:val="3"/>
      </w:numPr>
      <w:spacing w:before="60" w:after="60" w:line="240" w:lineRule="auto"/>
    </w:pPr>
    <w:rPr>
      <w:rFonts w:ascii="Arial" w:eastAsia="MS Mincho" w:hAnsi="Arial" w:cs="Times New Roman"/>
      <w:sz w:val="24"/>
      <w:szCs w:val="20"/>
      <w:lang w:val="en-GB"/>
    </w:rPr>
  </w:style>
  <w:style w:type="paragraph" w:styleId="Footer">
    <w:name w:val="footer"/>
    <w:basedOn w:val="Normal"/>
    <w:link w:val="FooterChar"/>
    <w:uiPriority w:val="99"/>
    <w:unhideWhenUsed/>
    <w:rsid w:val="002E78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810"/>
    <w:rPr>
      <w:lang w:val="bs-Latn-BA"/>
    </w:rPr>
  </w:style>
  <w:style w:type="character" w:styleId="CommentReference">
    <w:name w:val="annotation reference"/>
    <w:basedOn w:val="DefaultParagraphFont"/>
    <w:uiPriority w:val="99"/>
    <w:semiHidden/>
    <w:unhideWhenUsed/>
    <w:rsid w:val="00A433CF"/>
    <w:rPr>
      <w:sz w:val="16"/>
      <w:szCs w:val="16"/>
    </w:rPr>
  </w:style>
  <w:style w:type="paragraph" w:styleId="CommentSubject">
    <w:name w:val="annotation subject"/>
    <w:basedOn w:val="CommentText"/>
    <w:next w:val="CommentText"/>
    <w:link w:val="CommentSubjectChar"/>
    <w:uiPriority w:val="99"/>
    <w:semiHidden/>
    <w:unhideWhenUsed/>
    <w:rsid w:val="00A433CF"/>
    <w:rPr>
      <w:b/>
      <w:bCs/>
    </w:rPr>
  </w:style>
  <w:style w:type="character" w:customStyle="1" w:styleId="CommentSubjectChar">
    <w:name w:val="Comment Subject Char"/>
    <w:basedOn w:val="CommentTextChar"/>
    <w:link w:val="CommentSubject"/>
    <w:uiPriority w:val="99"/>
    <w:semiHidden/>
    <w:rsid w:val="00A433CF"/>
    <w:rPr>
      <w:b/>
      <w:bCs/>
      <w:sz w:val="20"/>
      <w:szCs w:val="20"/>
      <w:lang w:val="bs-Latn-BA"/>
    </w:rPr>
  </w:style>
  <w:style w:type="paragraph" w:styleId="BalloonText">
    <w:name w:val="Balloon Text"/>
    <w:basedOn w:val="Normal"/>
    <w:link w:val="BalloonTextChar"/>
    <w:uiPriority w:val="99"/>
    <w:semiHidden/>
    <w:unhideWhenUsed/>
    <w:rsid w:val="00A4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CF"/>
    <w:rPr>
      <w:rFonts w:ascii="Segoe UI" w:hAnsi="Segoe UI" w:cs="Segoe UI"/>
      <w:sz w:val="18"/>
      <w:szCs w:val="18"/>
      <w:lang w:val="bs-Latn-BA"/>
    </w:rPr>
  </w:style>
  <w:style w:type="paragraph" w:styleId="Revision">
    <w:name w:val="Revision"/>
    <w:hidden/>
    <w:uiPriority w:val="99"/>
    <w:semiHidden/>
    <w:rsid w:val="002A2D86"/>
    <w:pPr>
      <w:spacing w:after="0" w:line="240" w:lineRule="auto"/>
    </w:pPr>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4EDD-F6FC-42C2-9CAD-3FA51FAD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A. A. Al-Aghbari</dc:creator>
  <cp:keywords/>
  <dc:description/>
  <cp:lastModifiedBy>Sawsan Abu Alganam</cp:lastModifiedBy>
  <cp:revision>2</cp:revision>
  <dcterms:created xsi:type="dcterms:W3CDTF">2022-08-14T10:07:00Z</dcterms:created>
  <dcterms:modified xsi:type="dcterms:W3CDTF">2022-08-14T10:07:00Z</dcterms:modified>
</cp:coreProperties>
</file>